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BC0A9B">
      <w:pPr>
        <w:suppressAutoHyphens/>
        <w:jc w:val="center"/>
        <w:rPr>
          <w:rFonts w:ascii="Times New Roman" w:hAnsi="Times New Roman"/>
          <w:sz w:val="24"/>
        </w:rPr>
      </w:pPr>
      <w:bookmarkStart w:id="0" w:name="_Toc262568021"/>
      <w:bookmarkStart w:id="1" w:name="_Toc295829847"/>
      <w:r>
        <w:rPr>
          <w:rFonts w:ascii="Times New Roman" w:hAnsi="Times New Roman"/>
          <w:sz w:val="24"/>
        </w:rPr>
        <w:t>IT</w:t>
      </w:r>
    </w:p>
    <w:p w14:paraId="2704A83C" w14:textId="77777777" w:rsidR="009E7D0C" w:rsidRPr="004B0EC7" w:rsidRDefault="009E7D0C" w:rsidP="00BC0A9B">
      <w:pPr>
        <w:suppressAutoHyphens/>
        <w:jc w:val="center"/>
        <w:rPr>
          <w:rFonts w:ascii="Times New Roman" w:hAnsi="Times New Roman"/>
          <w:sz w:val="24"/>
        </w:rPr>
      </w:pPr>
    </w:p>
    <w:p w14:paraId="24333E7A" w14:textId="5D6FD9D5" w:rsidR="008D696E" w:rsidRPr="004B0EC7" w:rsidRDefault="008D696E" w:rsidP="00BC0A9B">
      <w:pPr>
        <w:suppressAutoHyphens/>
        <w:jc w:val="center"/>
        <w:rPr>
          <w:rFonts w:ascii="Times New Roman" w:hAnsi="Times New Roman"/>
          <w:sz w:val="24"/>
        </w:rPr>
      </w:pPr>
      <w:r>
        <w:rPr>
          <w:rFonts w:ascii="Times New Roman" w:hAnsi="Times New Roman"/>
          <w:sz w:val="24"/>
        </w:rPr>
        <w:t>ALLEGATO II</w:t>
      </w:r>
    </w:p>
    <w:p w14:paraId="37362007" w14:textId="021B0CB7" w:rsidR="002648B0" w:rsidRPr="004B0EC7" w:rsidRDefault="00BC0A9B" w:rsidP="00BC0A9B">
      <w:pPr>
        <w:suppressAutoHyphens/>
        <w:jc w:val="center"/>
        <w:rPr>
          <w:rFonts w:ascii="Times New Roman" w:hAnsi="Times New Roman"/>
          <w:sz w:val="24"/>
        </w:rPr>
      </w:pPr>
      <w:r>
        <w:rPr>
          <w:rFonts w:ascii="Times New Roman" w:hAnsi="Times New Roman"/>
          <w:sz w:val="24"/>
        </w:rPr>
        <w:t>"</w:t>
      </w:r>
      <w:r w:rsidR="008D696E">
        <w:rPr>
          <w:rFonts w:ascii="Times New Roman" w:hAnsi="Times New Roman"/>
          <w:sz w:val="24"/>
        </w:rPr>
        <w:t>ALLEGATO II</w:t>
      </w:r>
    </w:p>
    <w:p w14:paraId="327777EC" w14:textId="77777777" w:rsidR="002648B0" w:rsidRPr="004B0EC7" w:rsidRDefault="00D11E4C" w:rsidP="00BC0A9B">
      <w:pPr>
        <w:suppressAutoHyphens/>
        <w:jc w:val="center"/>
        <w:rPr>
          <w:rFonts w:ascii="Times New Roman" w:hAnsi="Times New Roman"/>
          <w:b/>
          <w:sz w:val="24"/>
        </w:rPr>
      </w:pPr>
      <w:r>
        <w:rPr>
          <w:rFonts w:ascii="Times New Roman" w:hAnsi="Times New Roman"/>
          <w:b/>
          <w:sz w:val="24"/>
        </w:rPr>
        <w:t>ISTRUZIONI PER LE SEGNALAZIONI RIGUARDANTI I FONDI PROPRI E I REQUISITI DI FONDI PROPRI</w:t>
      </w:r>
    </w:p>
    <w:p w14:paraId="2C40683C" w14:textId="77777777" w:rsidR="00436204" w:rsidRPr="004B0EC7" w:rsidRDefault="00436204" w:rsidP="00BC0A9B">
      <w:pPr>
        <w:suppressAutoHyphens/>
        <w:jc w:val="center"/>
        <w:rPr>
          <w:rFonts w:ascii="Times New Roman" w:hAnsi="Times New Roman"/>
          <w:b/>
          <w:sz w:val="24"/>
          <w:lang w:eastAsia="de-DE"/>
        </w:rPr>
      </w:pPr>
    </w:p>
    <w:p w14:paraId="587AAF25" w14:textId="155D24EC" w:rsidR="00971D22" w:rsidRPr="004B0EC7" w:rsidRDefault="00971D22" w:rsidP="00BC0A9B">
      <w:pPr>
        <w:suppressAutoHyphens/>
        <w:rPr>
          <w:rFonts w:ascii="Times New Roman" w:hAnsi="Times New Roman"/>
          <w:sz w:val="24"/>
        </w:rPr>
      </w:pPr>
      <w:r>
        <w:rPr>
          <w:rFonts w:ascii="Times New Roman" w:hAnsi="Times New Roman"/>
          <w:sz w:val="24"/>
        </w:rPr>
        <w:t>(…)</w:t>
      </w:r>
    </w:p>
    <w:p w14:paraId="74494658" w14:textId="77777777" w:rsidR="002648B0" w:rsidRPr="004B0EC7" w:rsidRDefault="002648B0" w:rsidP="00BC0A9B">
      <w:pPr>
        <w:pStyle w:val="Heading2"/>
        <w:suppressAutoHyphens/>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PARTE II: ISTRUZIONI RELATIVE AI MODELLI</w:t>
      </w:r>
      <w:bookmarkEnd w:id="3"/>
      <w:bookmarkEnd w:id="4"/>
      <w:bookmarkEnd w:id="5"/>
    </w:p>
    <w:p w14:paraId="42779579" w14:textId="77777777" w:rsidR="00971D22" w:rsidRPr="004B0EC7" w:rsidRDefault="00971D22" w:rsidP="00BC0A9B">
      <w:pPr>
        <w:suppressAutoHyphens/>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rsidRPr="00BC0A9B">
        <w:rPr>
          <w:u w:val="none"/>
        </w:rPr>
        <w:tab/>
      </w:r>
      <w:r>
        <w:rPr>
          <w:rFonts w:ascii="Times New Roman" w:hAnsi="Times New Roman"/>
          <w:sz w:val="24"/>
        </w:rPr>
        <w:t>Modelli riguardanti il rischio di mercato</w:t>
      </w:r>
      <w:bookmarkEnd w:id="9"/>
      <w:bookmarkEnd w:id="10"/>
      <w:bookmarkEnd w:id="11"/>
      <w:bookmarkEnd w:id="12"/>
      <w:bookmarkEnd w:id="13"/>
      <w:bookmarkEnd w:id="14"/>
      <w:bookmarkEnd w:id="15"/>
    </w:p>
    <w:bookmarkStart w:id="16" w:name="_Toc308426672"/>
    <w:p w14:paraId="3A680559" w14:textId="2583C40D" w:rsidR="000B0B09" w:rsidRPr="004B0EC7" w:rsidRDefault="00771068" w:rsidP="00BC0A9B">
      <w:pPr>
        <w:pStyle w:val="InstructionsText2"/>
        <w:numPr>
          <w:ilvl w:val="0"/>
          <w:numId w:val="0"/>
        </w:numPr>
        <w:suppressAutoHyphens/>
        <w:ind w:left="993"/>
      </w:pPr>
      <w:r>
        <w:fldChar w:fldCharType="begin"/>
      </w:r>
      <w:r>
        <w:instrText xml:space="preserve"> seq paragraphs </w:instrText>
      </w:r>
      <w:r>
        <w:fldChar w:fldCharType="separate"/>
      </w:r>
      <w:r>
        <w:t>158</w:t>
      </w:r>
      <w:r>
        <w:fldChar w:fldCharType="end"/>
      </w:r>
      <w:r>
        <w:t>.</w:t>
      </w:r>
      <w:r>
        <w:tab/>
        <w:t xml:space="preserve"> Queste istruzioni riguardano i modelli da utilizzare per la segnalazione del calcolo dei requisiti di fondi propri conformemente al metodo standardizzato per il rischio di cambio (MKR SSA FX), il rischio di posizione in merci (MKR SSA COM), il rischio di tasso d</w:t>
      </w:r>
      <w:r w:rsidR="00BC0A9B">
        <w:t>'</w:t>
      </w:r>
      <w:r>
        <w:t xml:space="preserve">interesse (MKR SSA TDI, MKR SSA SEC, MKR SSA CTP) e il rischio di strumenti di capitale (MKR SSA EQU). In questa parte sono comprese anche le istruzioni relative al modello per la segnalazione del calcolo dei requisiti di fondi propri secondo il metodo dei modelli interni (MKR IM). </w:t>
      </w:r>
    </w:p>
    <w:p w14:paraId="43A205D1" w14:textId="0570DD81" w:rsidR="000B0B09"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159</w:t>
      </w:r>
      <w:r>
        <w:fldChar w:fldCharType="end"/>
      </w:r>
      <w:r>
        <w:t>.</w:t>
      </w:r>
      <w:r>
        <w:tab/>
        <w:t xml:space="preserve"> Ai fini del calcolo del capitale richiesto a fronte del rischio considerato, il rischio di posizione su uno strumento di debito negoziato o uno strumento di capitale (o</w:t>
      </w:r>
      <w:r w:rsidR="00BC0A9B">
        <w:t> </w:t>
      </w:r>
      <w:r>
        <w:t>un</w:t>
      </w:r>
      <w:r w:rsidR="00BC0A9B">
        <w:t> </w:t>
      </w:r>
      <w:r>
        <w:t>derivato su uno strumento di debito o un derivato su uno strumento di capitale) è suddiviso in due componenti. La prima è la componente di rischio specifico — ossia il rischio di una variazione del prezzo dello strumento in questione dovuta a fattori connessi con l</w:t>
      </w:r>
      <w:r w:rsidR="00BC0A9B">
        <w:t>'</w:t>
      </w:r>
      <w:r>
        <w:t>emittente oppure, nel caso di un derivato, con l</w:t>
      </w:r>
      <w:r w:rsidR="00BC0A9B">
        <w:t>'</w:t>
      </w:r>
      <w:r>
        <w:t xml:space="preserve">emittente dello strumento sottostante. La seconda componente copre il rischio generico — ossia il rischio di una variazione di prezzo dello strumento dovuta, nel caso di uno strumento di debito negoziato o di un derivato su uno strumento di debito, ad una variazione del livello dei tassi di interesse oppure, nel caso di uno strumento di capitale o di un derivato su uno strumento di capitale, a un movimento generale sul mercato degli strumenti di capitale non connesso con le caratteristiche specifiche dei singoli titoli. </w:t>
      </w:r>
      <w:bookmarkEnd w:id="16"/>
      <w:r>
        <w:t>Il trattamento generale degli strumenti specifici e delle procedure di compensazione è indicato negli articoli da 326 a 333 del regolamento (UE) n. 575/2013.</w:t>
      </w:r>
    </w:p>
    <w:p w14:paraId="39C5FEA4" w14:textId="0C709FA3"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rsidRPr="00BC0A9B">
        <w:rPr>
          <w:u w:val="none"/>
        </w:rPr>
        <w:tab/>
      </w:r>
      <w:r>
        <w:rPr>
          <w:rFonts w:ascii="Times New Roman" w:hAnsi="Times New Roman"/>
          <w:sz w:val="24"/>
        </w:rPr>
        <w:t>C 18.01 – Rischio di mercato: Metodo standardizzato semplificato per i rischi di posizione su strumenti di debito negoziati</w:t>
      </w:r>
      <w:bookmarkEnd w:id="17"/>
      <w:bookmarkEnd w:id="18"/>
      <w:bookmarkEnd w:id="19"/>
      <w:bookmarkEnd w:id="20"/>
      <w:bookmarkEnd w:id="21"/>
      <w:bookmarkEnd w:id="22"/>
      <w:r>
        <w:rPr>
          <w:rFonts w:ascii="Times New Roman" w:hAnsi="Times New Roman"/>
          <w:sz w:val="24"/>
        </w:rPr>
        <w:t xml:space="preserve"> (MKR SSA TDI)</w:t>
      </w:r>
      <w:bookmarkEnd w:id="23"/>
      <w:bookmarkEnd w:id="24"/>
    </w:p>
    <w:p w14:paraId="7BC699A3" w14:textId="77777777"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rsidRPr="00BC0A9B">
        <w:rPr>
          <w:u w:val="none"/>
        </w:rPr>
        <w:tab/>
      </w:r>
      <w:r>
        <w:rPr>
          <w:rFonts w:ascii="Times New Roman" w:hAnsi="Times New Roman"/>
          <w:sz w:val="24"/>
        </w:rPr>
        <w:t>Osservazioni di carattere generale</w:t>
      </w:r>
      <w:bookmarkEnd w:id="25"/>
      <w:bookmarkEnd w:id="26"/>
      <w:bookmarkEnd w:id="27"/>
      <w:bookmarkEnd w:id="28"/>
      <w:bookmarkEnd w:id="29"/>
      <w:bookmarkEnd w:id="30"/>
      <w:bookmarkEnd w:id="31"/>
    </w:p>
    <w:p w14:paraId="0D010E09" w14:textId="21D929B2" w:rsidR="000B0B09"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160</w:t>
      </w:r>
      <w:r>
        <w:fldChar w:fldCharType="end"/>
      </w:r>
      <w:r>
        <w:t>.</w:t>
      </w:r>
      <w:r>
        <w:tab/>
        <w:t xml:space="preserve"> Questo modello riassume le posizioni e i relativi requisiti di fondi propri per i rischi di posizione su strumenti di debito negoziati secondo il metodo standardizzato (articolo 325, paragrafo 2, lettera a), del regolamento (UE) n. 575/2013). I differenti rischi e metodi disponibili nell</w:t>
      </w:r>
      <w:r w:rsidR="00BC0A9B">
        <w:t>'</w:t>
      </w:r>
      <w:r>
        <w:t xml:space="preserve">ambito del regolamento (UE) n. 575/2013 sono presentati per riga. Il rischio specifico associato alle esposizioni incluse nei modelli MKR SSA SEC e MKR SSA CTP deve essere riportato solo nel modello MKR SSA </w:t>
      </w:r>
      <w:r>
        <w:lastRenderedPageBreak/>
        <w:t>TDI Totale. I requisiti di fondi propri indicati nei modelli citati sono trasferiti, rispettivamente, nella cella {0325;0060} (cartolarizzazioni) e nella cella {0330;0060} (portafoglio di negoziazione di correlazione).</w:t>
      </w:r>
    </w:p>
    <w:p w14:paraId="7C8420A5" w14:textId="62C063FE" w:rsidR="000B0B09" w:rsidRPr="004B0EC7" w:rsidRDefault="008F3052" w:rsidP="00BC0A9B">
      <w:pPr>
        <w:pStyle w:val="InstructionsText2"/>
        <w:numPr>
          <w:ilvl w:val="0"/>
          <w:numId w:val="0"/>
        </w:numPr>
        <w:suppressAutoHyphens/>
        <w:spacing w:after="280"/>
        <w:ind w:left="992"/>
      </w:pPr>
      <w:r>
        <w:fldChar w:fldCharType="begin"/>
      </w:r>
      <w:r>
        <w:instrText>seq paragraphs</w:instrText>
      </w:r>
      <w:r>
        <w:fldChar w:fldCharType="separate"/>
      </w:r>
      <w:r>
        <w:t>161</w:t>
      </w:r>
      <w:r>
        <w:fldChar w:fldCharType="end"/>
      </w:r>
      <w:r>
        <w:t>.</w:t>
      </w:r>
      <w:r>
        <w:tab/>
        <w:t xml:space="preserve"> Il modello deve essere compilato separatamente per il </w:t>
      </w:r>
      <w:r w:rsidR="00BC0A9B">
        <w:t>"</w:t>
      </w:r>
      <w:r>
        <w:t>Totale</w:t>
      </w:r>
      <w:r w:rsidR="00BC0A9B">
        <w:t>"</w:t>
      </w:r>
      <w:r>
        <w:t xml:space="preserve">, più un elenco prestabilito comprendente le seguenti valute: </w:t>
      </w:r>
      <w:bookmarkStart w:id="32" w:name="OLE_LINK1"/>
      <w:r>
        <w:t>EUR, ALL, BGN, CZK, DKK, EGP, GBP, HUF, ISK, JPY, MKD, NOK, PLN, RON, RUB, RSD, SEK, CHF, TRY, UAH, USD</w:t>
      </w:r>
      <w:bookmarkEnd w:id="32"/>
      <w:r>
        <w:t xml:space="preserve"> e un modello residuale per tutte le altre valute. </w:t>
      </w:r>
    </w:p>
    <w:p w14:paraId="73E54EAD" w14:textId="76F64ACC" w:rsidR="000B0B09" w:rsidRPr="004B0EC7" w:rsidRDefault="00125707" w:rsidP="00BC0A9B">
      <w:pPr>
        <w:pStyle w:val="Instructionsberschrift2"/>
        <w:numPr>
          <w:ilvl w:val="0"/>
          <w:numId w:val="0"/>
        </w:numPr>
        <w:suppressAutoHyphens/>
        <w:spacing w:after="280"/>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rsidRPr="00BC0A9B">
        <w:rPr>
          <w:rFonts w:ascii="Times New Roman" w:hAnsi="Times New Roman"/>
          <w:sz w:val="24"/>
          <w:u w:val="none"/>
        </w:rPr>
        <w:t>.</w:t>
      </w:r>
      <w:r w:rsidRPr="00BC0A9B">
        <w:rPr>
          <w:u w:val="none"/>
        </w:rPr>
        <w:tab/>
      </w:r>
      <w:r>
        <w:rPr>
          <w:rFonts w:ascii="Times New Roman" w:hAnsi="Times New Roman"/>
          <w:sz w:val="24"/>
        </w:rPr>
        <w:t>Istruzioni relative a posizioni specifiche</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4B0EC7" w14:paraId="2FB66B69" w14:textId="77777777" w:rsidTr="00672D2A">
        <w:tc>
          <w:tcPr>
            <w:tcW w:w="988" w:type="dxa"/>
          </w:tcPr>
          <w:p w14:paraId="3487AAF4"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BC0A9B">
            <w:pPr>
              <w:suppressAutoHyphens/>
              <w:autoSpaceDE w:val="0"/>
              <w:autoSpaceDN w:val="0"/>
              <w:adjustRightInd w:val="0"/>
              <w:spacing w:before="40" w:after="80"/>
              <w:rPr>
                <w:rFonts w:ascii="Times New Roman" w:hAnsi="Times New Roman"/>
                <w:b/>
                <w:bCs/>
                <w:sz w:val="24"/>
                <w:u w:val="single"/>
              </w:rPr>
            </w:pPr>
            <w:r>
              <w:rPr>
                <w:rFonts w:ascii="Times New Roman" w:hAnsi="Times New Roman"/>
                <w:b/>
                <w:sz w:val="24"/>
                <w:u w:val="single"/>
              </w:rPr>
              <w:t>TUTTE LE POSIZIONI (LUNGHE E CORTE)</w:t>
            </w:r>
          </w:p>
          <w:p w14:paraId="0C799784" w14:textId="336E1FDF" w:rsidR="000B0B09" w:rsidRPr="004B0EC7" w:rsidRDefault="000B0B09" w:rsidP="00BC0A9B">
            <w:pPr>
              <w:suppressAutoHyphens/>
              <w:spacing w:after="160"/>
              <w:rPr>
                <w:rFonts w:ascii="Times New Roman" w:hAnsi="Times New Roman"/>
                <w:sz w:val="24"/>
              </w:rPr>
            </w:pPr>
            <w:r>
              <w:rPr>
                <w:rFonts w:ascii="Times New Roman" w:hAnsi="Times New Roman"/>
                <w:sz w:val="24"/>
              </w:rPr>
              <w:t>Articolo 102 e articolo 105, paragrafo 1, del regolamento (UE) n. 575/2013. Si</w:t>
            </w:r>
            <w:r w:rsidR="00BC0A9B">
              <w:rPr>
                <w:rFonts w:ascii="Times New Roman" w:hAnsi="Times New Roman"/>
                <w:sz w:val="24"/>
              </w:rPr>
              <w:t> </w:t>
            </w:r>
            <w:r>
              <w:rPr>
                <w:rFonts w:ascii="Times New Roman" w:hAnsi="Times New Roman"/>
                <w:sz w:val="24"/>
              </w:rPr>
              <w:t xml:space="preserve">tratta di posizioni lorde non compensate da strumenti; sono tuttavia escluse le posizioni in impegni irrevocabili di acquisto sottoscritte o </w:t>
            </w:r>
            <w:proofErr w:type="spellStart"/>
            <w:r>
              <w:rPr>
                <w:rFonts w:ascii="Times New Roman" w:hAnsi="Times New Roman"/>
                <w:sz w:val="24"/>
              </w:rPr>
              <w:t>risottoscritte</w:t>
            </w:r>
            <w:proofErr w:type="spellEnd"/>
            <w:r>
              <w:rPr>
                <w:rFonts w:ascii="Times New Roman" w:hAnsi="Times New Roman"/>
                <w:sz w:val="24"/>
              </w:rPr>
              <w:t xml:space="preserve"> da terzi di cui all</w:t>
            </w:r>
            <w:r w:rsidR="00BC0A9B">
              <w:rPr>
                <w:rFonts w:ascii="Times New Roman" w:hAnsi="Times New Roman"/>
                <w:sz w:val="24"/>
              </w:rPr>
              <w:t>'</w:t>
            </w:r>
            <w:r>
              <w:rPr>
                <w:rFonts w:ascii="Times New Roman" w:hAnsi="Times New Roman"/>
                <w:sz w:val="24"/>
              </w:rPr>
              <w:t>articolo 345, paragrafo 1, primo comma, seconda frase, del regolamento (UE) n. 575/2013. Per la distinzione tra posizioni lunghe e posizioni corte, applicabile anche a queste posizioni lorde, cfr. l</w:t>
            </w:r>
            <w:r w:rsidR="00BC0A9B">
              <w:rPr>
                <w:rFonts w:ascii="Times New Roman" w:hAnsi="Times New Roman"/>
                <w:sz w:val="24"/>
              </w:rPr>
              <w:t>'</w:t>
            </w:r>
            <w:r>
              <w:rPr>
                <w:rFonts w:ascii="Times New Roman" w:hAnsi="Times New Roman"/>
                <w:sz w:val="24"/>
              </w:rPr>
              <w:t>articolo 328, paragrafo 2, del regolamento (UE) n. 575/2013.</w:t>
            </w:r>
          </w:p>
        </w:tc>
      </w:tr>
      <w:tr w:rsidR="000B0B09" w:rsidRPr="004B0EC7" w14:paraId="05A2AFD3" w14:textId="77777777" w:rsidTr="00672D2A">
        <w:tc>
          <w:tcPr>
            <w:tcW w:w="988" w:type="dxa"/>
          </w:tcPr>
          <w:p w14:paraId="0443676D"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BC0A9B">
            <w:pPr>
              <w:suppressAutoHyphens/>
              <w:autoSpaceDE w:val="0"/>
              <w:autoSpaceDN w:val="0"/>
              <w:adjustRightInd w:val="0"/>
              <w:spacing w:before="40" w:after="80"/>
              <w:rPr>
                <w:rFonts w:ascii="Times New Roman" w:hAnsi="Times New Roman"/>
                <w:b/>
                <w:bCs/>
                <w:sz w:val="24"/>
                <w:u w:val="single"/>
              </w:rPr>
            </w:pPr>
            <w:r>
              <w:rPr>
                <w:rFonts w:ascii="Times New Roman" w:hAnsi="Times New Roman"/>
                <w:b/>
                <w:sz w:val="24"/>
                <w:u w:val="single"/>
              </w:rPr>
              <w:t>POSIZIONI NETTE (LUNGHE E CORTE)</w:t>
            </w:r>
          </w:p>
          <w:p w14:paraId="38649486" w14:textId="42915A8B" w:rsidR="000B0B09" w:rsidRPr="004B0EC7" w:rsidRDefault="000B0B09" w:rsidP="00BC0A9B">
            <w:pPr>
              <w:suppressAutoHyphens/>
              <w:spacing w:after="160"/>
              <w:rPr>
                <w:rFonts w:ascii="Times New Roman" w:hAnsi="Times New Roman"/>
                <w:sz w:val="24"/>
              </w:rPr>
            </w:pPr>
            <w:r>
              <w:rPr>
                <w:rFonts w:ascii="Times New Roman" w:hAnsi="Times New Roman"/>
                <w:sz w:val="24"/>
              </w:rPr>
              <w:t>Articoli da 327 a 329 e articolo 334 del regolamento (UE) n. 575/2013. Per la distinzione tra posizioni lunghe e posizioni corte cfr. l</w:t>
            </w:r>
            <w:r w:rsidR="00BC0A9B">
              <w:rPr>
                <w:rFonts w:ascii="Times New Roman" w:hAnsi="Times New Roman"/>
                <w:sz w:val="24"/>
              </w:rPr>
              <w:t>'</w:t>
            </w:r>
            <w:r>
              <w:rPr>
                <w:rFonts w:ascii="Times New Roman" w:hAnsi="Times New Roman"/>
                <w:sz w:val="24"/>
              </w:rPr>
              <w:t>articolo 328, paragrafo 2, del regolamento (UE) n. 575/2013.</w:t>
            </w:r>
          </w:p>
        </w:tc>
      </w:tr>
      <w:tr w:rsidR="000B0B09" w:rsidRPr="004B0EC7" w14:paraId="4C7D46FF" w14:textId="77777777" w:rsidTr="00672D2A">
        <w:tc>
          <w:tcPr>
            <w:tcW w:w="988" w:type="dxa"/>
          </w:tcPr>
          <w:p w14:paraId="4D3FEEA5"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BC0A9B">
            <w:pPr>
              <w:suppressAutoHyphens/>
              <w:autoSpaceDE w:val="0"/>
              <w:autoSpaceDN w:val="0"/>
              <w:adjustRightInd w:val="0"/>
              <w:spacing w:before="40" w:after="80"/>
              <w:rPr>
                <w:rFonts w:ascii="Times New Roman" w:hAnsi="Times New Roman"/>
                <w:b/>
                <w:bCs/>
                <w:sz w:val="24"/>
                <w:u w:val="single"/>
              </w:rPr>
            </w:pPr>
            <w:r>
              <w:rPr>
                <w:rFonts w:ascii="Times New Roman" w:hAnsi="Times New Roman"/>
                <w:b/>
                <w:sz w:val="24"/>
                <w:u w:val="single"/>
              </w:rPr>
              <w:t>POSIZIONI SOGGETTE A COPERTURA PATRIMONIALE</w:t>
            </w:r>
          </w:p>
          <w:p w14:paraId="76B658E5" w14:textId="104F8165" w:rsidR="000B0B09" w:rsidRPr="004B0EC7" w:rsidRDefault="000B0B09" w:rsidP="00BC0A9B">
            <w:pPr>
              <w:suppressAutoHyphens/>
              <w:spacing w:after="160"/>
              <w:rPr>
                <w:rFonts w:ascii="Times New Roman" w:hAnsi="Times New Roman"/>
                <w:b/>
                <w:bCs/>
                <w:sz w:val="24"/>
                <w:u w:val="single"/>
              </w:rPr>
            </w:pPr>
            <w:r>
              <w:rPr>
                <w:rFonts w:ascii="Times New Roman" w:hAnsi="Times New Roman"/>
                <w:sz w:val="24"/>
              </w:rPr>
              <w:t>Posizioni nette che, secondo i differenti metodi di cui alla parte tre, titolo IV, capo 2, del regolamento (UE) n. 575/2013, ricevono una copertura patrimoniale.</w:t>
            </w:r>
          </w:p>
        </w:tc>
      </w:tr>
      <w:tr w:rsidR="000B0B09" w:rsidRPr="004B0EC7" w14:paraId="017C014C" w14:textId="77777777" w:rsidTr="00672D2A">
        <w:tc>
          <w:tcPr>
            <w:tcW w:w="988" w:type="dxa"/>
          </w:tcPr>
          <w:p w14:paraId="7D197D93"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2CB377D5" w:rsidR="000B0B09" w:rsidRPr="004B0EC7" w:rsidRDefault="000B0B09" w:rsidP="00BC0A9B">
            <w:pPr>
              <w:tabs>
                <w:tab w:val="left" w:pos="1665"/>
              </w:tabs>
              <w:suppressAutoHyphens/>
              <w:autoSpaceDE w:val="0"/>
              <w:autoSpaceDN w:val="0"/>
              <w:adjustRightInd w:val="0"/>
              <w:spacing w:before="40" w:after="80"/>
              <w:rPr>
                <w:rFonts w:ascii="Times New Roman" w:hAnsi="Times New Roman"/>
                <w:b/>
                <w:bCs/>
                <w:sz w:val="24"/>
                <w:u w:val="single"/>
              </w:rPr>
            </w:pPr>
            <w:r>
              <w:rPr>
                <w:rFonts w:ascii="Times New Roman" w:hAnsi="Times New Roman"/>
                <w:b/>
                <w:sz w:val="24"/>
                <w:u w:val="single"/>
              </w:rPr>
              <w:t>REQUISITI DI FONDI PROPRI PRIMA DELL</w:t>
            </w:r>
            <w:r w:rsidR="00BC0A9B">
              <w:rPr>
                <w:rFonts w:ascii="Times New Roman" w:hAnsi="Times New Roman"/>
                <w:b/>
                <w:sz w:val="24"/>
                <w:u w:val="single"/>
              </w:rPr>
              <w:t>'</w:t>
            </w:r>
            <w:r>
              <w:rPr>
                <w:rFonts w:ascii="Times New Roman" w:hAnsi="Times New Roman"/>
                <w:b/>
                <w:sz w:val="24"/>
                <w:u w:val="single"/>
              </w:rPr>
              <w:t>APPLICAZIONE DEI FATTORI DI GRADUAZIONE</w:t>
            </w:r>
          </w:p>
          <w:p w14:paraId="74F1F61F" w14:textId="0B827BA1" w:rsidR="000B0B09" w:rsidRPr="004B0EC7" w:rsidRDefault="000B0B09" w:rsidP="00BC0A9B">
            <w:pPr>
              <w:suppressAutoHyphens/>
              <w:spacing w:after="160"/>
              <w:rPr>
                <w:rFonts w:ascii="Times New Roman" w:hAnsi="Times New Roman"/>
                <w:b/>
                <w:bCs/>
                <w:sz w:val="24"/>
                <w:u w:val="single"/>
              </w:rPr>
            </w:pPr>
            <w:r>
              <w:rPr>
                <w:rFonts w:ascii="Times New Roman" w:hAnsi="Times New Roman"/>
                <w:sz w:val="24"/>
              </w:rPr>
              <w:t>Il requisito di fondi propri per qualsiasi posizione pertinente conformemente alla parte tre, titolo IV, capo 2, del regolamento (UE) n. 575/2013, prima dell</w:t>
            </w:r>
            <w:r w:rsidR="00BC0A9B">
              <w:rPr>
                <w:rFonts w:ascii="Times New Roman" w:hAnsi="Times New Roman"/>
                <w:sz w:val="24"/>
              </w:rPr>
              <w:t>'</w:t>
            </w:r>
            <w:r>
              <w:rPr>
                <w:rFonts w:ascii="Times New Roman" w:hAnsi="Times New Roman"/>
                <w:sz w:val="24"/>
              </w:rPr>
              <w:t>applicazione dei fattori di graduazione di cui all</w:t>
            </w:r>
            <w:r w:rsidR="00BC0A9B">
              <w:rPr>
                <w:rFonts w:ascii="Times New Roman" w:hAnsi="Times New Roman"/>
                <w:sz w:val="24"/>
              </w:rPr>
              <w:t>'</w:t>
            </w:r>
            <w:r>
              <w:rPr>
                <w:rFonts w:ascii="Times New Roman" w:hAnsi="Times New Roman"/>
                <w:sz w:val="24"/>
              </w:rPr>
              <w:t>articolo 325, paragrafo 2, lettera a), lettere i) e d), di tale regolamento.</w:t>
            </w:r>
          </w:p>
        </w:tc>
      </w:tr>
      <w:tr w:rsidR="000B0B09" w:rsidRPr="004B0EC7" w14:paraId="56717AD1" w14:textId="77777777" w:rsidTr="00672D2A">
        <w:tc>
          <w:tcPr>
            <w:tcW w:w="988" w:type="dxa"/>
          </w:tcPr>
          <w:p w14:paraId="0D4A61CE" w14:textId="760D6E46"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1311C4CD" w:rsidR="000B0B09" w:rsidRPr="004B0EC7" w:rsidRDefault="000B0B09" w:rsidP="00BC0A9B">
            <w:pPr>
              <w:tabs>
                <w:tab w:val="left" w:pos="1665"/>
              </w:tabs>
              <w:suppressAutoHyphens/>
              <w:autoSpaceDE w:val="0"/>
              <w:autoSpaceDN w:val="0"/>
              <w:adjustRightInd w:val="0"/>
              <w:spacing w:before="40" w:after="80"/>
              <w:rPr>
                <w:rFonts w:ascii="Times New Roman" w:hAnsi="Times New Roman"/>
                <w:b/>
                <w:bCs/>
                <w:sz w:val="24"/>
                <w:u w:val="single"/>
              </w:rPr>
            </w:pPr>
            <w:r>
              <w:rPr>
                <w:rFonts w:ascii="Times New Roman" w:hAnsi="Times New Roman"/>
                <w:b/>
                <w:sz w:val="24"/>
                <w:u w:val="single"/>
              </w:rPr>
              <w:t>IMPORTO COMPLESSIVO DELL</w:t>
            </w:r>
            <w:r w:rsidR="00BC0A9B">
              <w:rPr>
                <w:rFonts w:ascii="Times New Roman" w:hAnsi="Times New Roman"/>
                <w:b/>
                <w:sz w:val="24"/>
                <w:u w:val="single"/>
              </w:rPr>
              <w:t>'</w:t>
            </w:r>
            <w:r>
              <w:rPr>
                <w:rFonts w:ascii="Times New Roman" w:hAnsi="Times New Roman"/>
                <w:b/>
                <w:sz w:val="24"/>
                <w:u w:val="single"/>
              </w:rPr>
              <w:t>ESPOSIZIONE AL RISCHIO</w:t>
            </w:r>
          </w:p>
          <w:p w14:paraId="2B71E9D1" w14:textId="77777777" w:rsidR="000C566F" w:rsidRPr="004B0EC7" w:rsidRDefault="000B0B09" w:rsidP="00BC0A9B">
            <w:pPr>
              <w:suppressAutoHyphens/>
              <w:rPr>
                <w:rFonts w:ascii="Times New Roman" w:hAnsi="Times New Roman"/>
                <w:sz w:val="24"/>
              </w:rPr>
            </w:pPr>
            <w:r>
              <w:rPr>
                <w:rFonts w:ascii="Times New Roman" w:hAnsi="Times New Roman"/>
                <w:sz w:val="24"/>
              </w:rPr>
              <w:t>Articolo 92, paragrafo 4, lettera b), punto i), del regolamento (UE) n. 575/2013.</w:t>
            </w:r>
          </w:p>
          <w:p w14:paraId="2C4B0E54" w14:textId="2876277B" w:rsidR="000B0B09" w:rsidRPr="004B0EC7" w:rsidRDefault="000B0B09" w:rsidP="00BC0A9B">
            <w:pPr>
              <w:suppressAutoHyphens/>
              <w:spacing w:after="160"/>
              <w:rPr>
                <w:rFonts w:ascii="Times New Roman" w:hAnsi="Times New Roman"/>
                <w:b/>
                <w:bCs/>
                <w:sz w:val="24"/>
                <w:u w:val="single"/>
              </w:rPr>
            </w:pPr>
            <w:r>
              <w:rPr>
                <w:rFonts w:ascii="Times New Roman" w:hAnsi="Times New Roman"/>
                <w:sz w:val="24"/>
              </w:rPr>
              <w:t>Risultato della moltiplicazione del requisito di fondi propri per 12,5 conformemente all</w:t>
            </w:r>
            <w:r w:rsidR="00BC0A9B">
              <w:rPr>
                <w:rFonts w:ascii="Times New Roman" w:hAnsi="Times New Roman"/>
                <w:sz w:val="24"/>
              </w:rPr>
              <w:t>'</w:t>
            </w:r>
            <w:r>
              <w:rPr>
                <w:rFonts w:ascii="Times New Roman" w:hAnsi="Times New Roman"/>
                <w:sz w:val="24"/>
              </w:rPr>
              <w:t>articolo 92, paragrafo 6, lettera b), del regolamento (UE) n.</w:t>
            </w:r>
            <w:r w:rsidR="00BC0A9B">
              <w:rPr>
                <w:rFonts w:ascii="Times New Roman" w:hAnsi="Times New Roman"/>
                <w:sz w:val="24"/>
              </w:rPr>
              <w:t> </w:t>
            </w:r>
            <w:r>
              <w:rPr>
                <w:rFonts w:ascii="Times New Roman" w:hAnsi="Times New Roman"/>
                <w:sz w:val="24"/>
              </w:rPr>
              <w:t>575/2013 e per il fattore di graduazione applicabile conformemente all</w:t>
            </w:r>
            <w:r w:rsidR="00BC0A9B">
              <w:rPr>
                <w:rFonts w:ascii="Times New Roman" w:hAnsi="Times New Roman"/>
                <w:sz w:val="24"/>
              </w:rPr>
              <w:t>'</w:t>
            </w:r>
            <w:r>
              <w:rPr>
                <w:rFonts w:ascii="Times New Roman" w:hAnsi="Times New Roman"/>
                <w:sz w:val="24"/>
              </w:rPr>
              <w:t xml:space="preserve">articolo 325, paragrafo 2, lettera a), punto i) e lettera d), di tale regolamento. </w:t>
            </w:r>
          </w:p>
        </w:tc>
      </w:tr>
    </w:tbl>
    <w:p w14:paraId="5A8176A5"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BC0A9B">
            <w:pPr>
              <w:keepNext/>
              <w:suppressAutoHyphens/>
              <w:autoSpaceDE w:val="0"/>
              <w:autoSpaceDN w:val="0"/>
              <w:adjustRightInd w:val="0"/>
              <w:spacing w:after="0"/>
              <w:rPr>
                <w:rFonts w:ascii="Times New Roman" w:hAnsi="Times New Roman"/>
                <w:b/>
                <w:sz w:val="24"/>
              </w:rPr>
            </w:pPr>
            <w:r>
              <w:rPr>
                <w:rFonts w:ascii="Times New Roman" w:hAnsi="Times New Roman"/>
                <w:b/>
                <w:sz w:val="24"/>
              </w:rPr>
              <w:lastRenderedPageBreak/>
              <w:t>Righe</w:t>
            </w:r>
          </w:p>
        </w:tc>
      </w:tr>
      <w:tr w:rsidR="000B0B09" w:rsidRPr="004B0EC7" w14:paraId="278DCECA" w14:textId="77777777" w:rsidTr="00672D2A">
        <w:trPr>
          <w:trHeight w:val="1168"/>
        </w:trPr>
        <w:tc>
          <w:tcPr>
            <w:tcW w:w="987" w:type="dxa"/>
          </w:tcPr>
          <w:p w14:paraId="2275EBA9"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DEBITO NEGOZIATI NEL PORTAFOGLIO DI NEGOZIAZIONE</w:t>
            </w:r>
          </w:p>
          <w:p w14:paraId="12C841B7" w14:textId="1EBB885D" w:rsidR="000B0B09" w:rsidRPr="004B0EC7" w:rsidRDefault="000B0B09" w:rsidP="00BC0A9B">
            <w:pPr>
              <w:suppressAutoHyphens/>
              <w:rPr>
                <w:rFonts w:ascii="Times New Roman" w:hAnsi="Times New Roman"/>
                <w:sz w:val="24"/>
              </w:rPr>
            </w:pPr>
            <w:r>
              <w:rPr>
                <w:rFonts w:ascii="Times New Roman" w:hAnsi="Times New Roman"/>
                <w:sz w:val="24"/>
              </w:rPr>
              <w:t>Le posizioni su strumenti di debito negoziati interne al portafoglio di negoziazione e i relativi requisiti di fondi propri per il rischio di posizione conformemente all</w:t>
            </w:r>
            <w:r w:rsidR="00BC0A9B">
              <w:rPr>
                <w:rFonts w:ascii="Times New Roman" w:hAnsi="Times New Roman"/>
                <w:sz w:val="24"/>
              </w:rPr>
              <w:t>'</w:t>
            </w:r>
            <w:r>
              <w:rPr>
                <w:rFonts w:ascii="Times New Roman" w:hAnsi="Times New Roman"/>
                <w:sz w:val="24"/>
              </w:rPr>
              <w:t>articolo 92, paragrafo 4, lettera b), punto i), del regolamento (UE) n. 575/2013 e alla parte tre, titolo IV, capo 2, di tale regolamento sono segnalati in base alla categoria di rischio, alla scadenza e al metodo utilizzato.</w:t>
            </w:r>
          </w:p>
        </w:tc>
      </w:tr>
      <w:tr w:rsidR="000B0B09" w:rsidRPr="004B0EC7" w14:paraId="2272E4A5" w14:textId="77777777" w:rsidTr="00672D2A">
        <w:tc>
          <w:tcPr>
            <w:tcW w:w="987" w:type="dxa"/>
          </w:tcPr>
          <w:p w14:paraId="0642F5E6"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2D6CC5">
            <w:pPr>
              <w:suppressAutoHyphens/>
              <w:autoSpaceDE w:val="0"/>
              <w:autoSpaceDN w:val="0"/>
              <w:adjustRightInd w:val="0"/>
              <w:spacing w:before="0" w:after="80"/>
              <w:rPr>
                <w:rFonts w:ascii="Times New Roman" w:hAnsi="Times New Roman"/>
                <w:sz w:val="24"/>
              </w:rPr>
            </w:pPr>
            <w:r>
              <w:rPr>
                <w:rFonts w:ascii="Times New Roman" w:hAnsi="Times New Roman"/>
                <w:b/>
                <w:sz w:val="24"/>
                <w:u w:val="single"/>
              </w:rPr>
              <w:t xml:space="preserve">RISCHIO GENERICO </w:t>
            </w:r>
          </w:p>
        </w:tc>
      </w:tr>
      <w:tr w:rsidR="000B0B09" w:rsidRPr="004B0EC7" w14:paraId="55F30C33" w14:textId="77777777" w:rsidTr="00672D2A">
        <w:tc>
          <w:tcPr>
            <w:tcW w:w="987" w:type="dxa"/>
          </w:tcPr>
          <w:p w14:paraId="2CBA5F8A"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Derivati</w:t>
            </w:r>
          </w:p>
          <w:p w14:paraId="06C530F0" w14:textId="787E6E43" w:rsidR="000B0B09" w:rsidRPr="004B0EC7" w:rsidRDefault="000B0B09" w:rsidP="00BC0A9B">
            <w:pPr>
              <w:suppressAutoHyphens/>
              <w:rPr>
                <w:rFonts w:ascii="Times New Roman" w:hAnsi="Times New Roman"/>
                <w:b/>
                <w:bCs/>
                <w:sz w:val="24"/>
                <w:u w:val="single"/>
              </w:rPr>
            </w:pPr>
            <w:r>
              <w:rPr>
                <w:rFonts w:ascii="Times New Roman" w:hAnsi="Times New Roman"/>
                <w:sz w:val="24"/>
              </w:rPr>
              <w:t>Derivati compresi nel calcolo del rischio di tasso d</w:t>
            </w:r>
            <w:r w:rsidR="00BC0A9B">
              <w:rPr>
                <w:rFonts w:ascii="Times New Roman" w:hAnsi="Times New Roman"/>
                <w:sz w:val="24"/>
              </w:rPr>
              <w:t>'</w:t>
            </w:r>
            <w:r>
              <w:rPr>
                <w:rFonts w:ascii="Times New Roman" w:hAnsi="Times New Roman"/>
                <w:sz w:val="24"/>
              </w:rPr>
              <w:t>interesse delle posizioni interne al portafoglio di negoziazione tenuto conto degli articoli da 328 a 331 del regolamento (UE) n. 575/2013, ove applicabili.</w:t>
            </w:r>
          </w:p>
        </w:tc>
      </w:tr>
      <w:tr w:rsidR="000B0B09" w:rsidRPr="004B0EC7" w14:paraId="36851B46" w14:textId="77777777" w:rsidTr="00672D2A">
        <w:tc>
          <w:tcPr>
            <w:tcW w:w="987" w:type="dxa"/>
          </w:tcPr>
          <w:p w14:paraId="6827F663"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Altre attività e passività</w:t>
            </w:r>
          </w:p>
          <w:p w14:paraId="665719C9" w14:textId="616E3224" w:rsidR="000B0B09" w:rsidRPr="004B0EC7" w:rsidRDefault="000B0B09" w:rsidP="00BC0A9B">
            <w:pPr>
              <w:suppressAutoHyphens/>
              <w:rPr>
                <w:rFonts w:ascii="Times New Roman" w:hAnsi="Times New Roman"/>
                <w:b/>
                <w:bCs/>
                <w:sz w:val="24"/>
                <w:u w:val="single"/>
              </w:rPr>
            </w:pPr>
            <w:r>
              <w:rPr>
                <w:rFonts w:ascii="Times New Roman" w:hAnsi="Times New Roman"/>
                <w:sz w:val="24"/>
              </w:rPr>
              <w:t>Strumenti diversi dai derivati compresi nel calcolo del rischio di tasso d</w:t>
            </w:r>
            <w:r w:rsidR="00BC0A9B">
              <w:rPr>
                <w:rFonts w:ascii="Times New Roman" w:hAnsi="Times New Roman"/>
                <w:sz w:val="24"/>
              </w:rPr>
              <w:t>'</w:t>
            </w:r>
            <w:r>
              <w:rPr>
                <w:rFonts w:ascii="Times New Roman" w:hAnsi="Times New Roman"/>
                <w:sz w:val="24"/>
              </w:rPr>
              <w:t xml:space="preserve">interesse delle posizioni interne al portafoglio di negoziazione. </w:t>
            </w:r>
          </w:p>
        </w:tc>
      </w:tr>
      <w:tr w:rsidR="000B0B09" w:rsidRPr="004B0EC7" w14:paraId="177EBA5C" w14:textId="77777777" w:rsidTr="00672D2A">
        <w:tc>
          <w:tcPr>
            <w:tcW w:w="987" w:type="dxa"/>
          </w:tcPr>
          <w:p w14:paraId="2B740B72"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BASATO SULLA SCADENZA</w:t>
            </w:r>
          </w:p>
          <w:p w14:paraId="644A7531" w14:textId="1B119A8C" w:rsidR="000B0B09" w:rsidRPr="004B0EC7" w:rsidRDefault="000B0B09" w:rsidP="00BC0A9B">
            <w:pPr>
              <w:suppressAutoHyphens/>
              <w:rPr>
                <w:rFonts w:ascii="Times New Roman" w:hAnsi="Times New Roman"/>
                <w:b/>
                <w:bCs/>
                <w:sz w:val="24"/>
                <w:u w:val="single"/>
              </w:rPr>
            </w:pPr>
            <w:r>
              <w:rPr>
                <w:rFonts w:ascii="Times New Roman" w:hAnsi="Times New Roman"/>
                <w:sz w:val="24"/>
              </w:rPr>
              <w:t>Posizioni su strumenti di debito negoziati soggette al metodo basato sulla scadenza di cui all</w:t>
            </w:r>
            <w:r w:rsidR="00BC0A9B">
              <w:rPr>
                <w:rFonts w:ascii="Times New Roman" w:hAnsi="Times New Roman"/>
                <w:sz w:val="24"/>
              </w:rPr>
              <w:t>'</w:t>
            </w:r>
            <w:r>
              <w:rPr>
                <w:rFonts w:ascii="Times New Roman" w:hAnsi="Times New Roman"/>
                <w:sz w:val="24"/>
              </w:rPr>
              <w:t>articolo 339, paragrafi da 1 a 8, del regolamento (UE) n.</w:t>
            </w:r>
            <w:r w:rsidR="00BC0A9B">
              <w:rPr>
                <w:rFonts w:ascii="Times New Roman" w:hAnsi="Times New Roman"/>
                <w:sz w:val="24"/>
              </w:rPr>
              <w:t> </w:t>
            </w:r>
            <w:r>
              <w:rPr>
                <w:rFonts w:ascii="Times New Roman" w:hAnsi="Times New Roman"/>
                <w:sz w:val="24"/>
              </w:rPr>
              <w:t>575/2013 e relativi requisiti di fondi propri calcolati in conformità dell</w:t>
            </w:r>
            <w:r w:rsidR="00BC0A9B">
              <w:rPr>
                <w:rFonts w:ascii="Times New Roman" w:hAnsi="Times New Roman"/>
                <w:sz w:val="24"/>
              </w:rPr>
              <w:t>'</w:t>
            </w:r>
            <w:r>
              <w:rPr>
                <w:rFonts w:ascii="Times New Roman" w:hAnsi="Times New Roman"/>
                <w:sz w:val="24"/>
              </w:rPr>
              <w:t>articolo</w:t>
            </w:r>
            <w:r w:rsidR="00BC0A9B">
              <w:rPr>
                <w:rFonts w:ascii="Times New Roman" w:hAnsi="Times New Roman"/>
                <w:sz w:val="24"/>
              </w:rPr>
              <w:t> </w:t>
            </w:r>
            <w:r>
              <w:rPr>
                <w:rFonts w:ascii="Times New Roman" w:hAnsi="Times New Roman"/>
                <w:sz w:val="24"/>
              </w:rPr>
              <w:t>339, paragrafo 9, del regolamento (UE) n. 575/2013. La posizione è suddivisa in zone (1, 2 e 3) e le zone sono suddivise in base alla scadenza degli strumenti.</w:t>
            </w:r>
          </w:p>
        </w:tc>
      </w:tr>
      <w:tr w:rsidR="000B0B09" w:rsidRPr="004B0EC7" w14:paraId="79DAC997" w14:textId="77777777" w:rsidTr="00672D2A">
        <w:tc>
          <w:tcPr>
            <w:tcW w:w="987" w:type="dxa"/>
          </w:tcPr>
          <w:p w14:paraId="73C021ED"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RISCHIO GENERICO METODO BASATO SULLA DURATA FINANZIARIA</w:t>
            </w:r>
          </w:p>
          <w:p w14:paraId="08171DB1" w14:textId="02A07F8D" w:rsidR="000B0B09" w:rsidRPr="004B0EC7" w:rsidRDefault="000B0B09" w:rsidP="00BC0A9B">
            <w:pPr>
              <w:suppressAutoHyphens/>
              <w:rPr>
                <w:rFonts w:ascii="Times New Roman" w:hAnsi="Times New Roman"/>
                <w:b/>
                <w:bCs/>
                <w:sz w:val="24"/>
                <w:u w:val="single"/>
              </w:rPr>
            </w:pPr>
            <w:r>
              <w:rPr>
                <w:rFonts w:ascii="Times New Roman" w:hAnsi="Times New Roman"/>
                <w:sz w:val="24"/>
              </w:rPr>
              <w:t>Posizioni su strumenti di debito negoziati soggette al metodo basato sulla durata finanziaria di cui all</w:t>
            </w:r>
            <w:r w:rsidR="00BC0A9B">
              <w:rPr>
                <w:rFonts w:ascii="Times New Roman" w:hAnsi="Times New Roman"/>
                <w:sz w:val="24"/>
              </w:rPr>
              <w:t>'</w:t>
            </w:r>
            <w:r>
              <w:rPr>
                <w:rFonts w:ascii="Times New Roman" w:hAnsi="Times New Roman"/>
                <w:sz w:val="24"/>
              </w:rPr>
              <w:t>articolo 340, paragrafi da 1 a 6, del regolamento (UE) n.</w:t>
            </w:r>
            <w:r w:rsidR="00BC0A9B">
              <w:rPr>
                <w:rFonts w:ascii="Times New Roman" w:hAnsi="Times New Roman"/>
                <w:sz w:val="24"/>
              </w:rPr>
              <w:t> </w:t>
            </w:r>
            <w:r>
              <w:rPr>
                <w:rFonts w:ascii="Times New Roman" w:hAnsi="Times New Roman"/>
                <w:sz w:val="24"/>
              </w:rPr>
              <w:t>575/2013 e relativi requisiti di fondi propri calcolati in conformità dell</w:t>
            </w:r>
            <w:r w:rsidR="00BC0A9B">
              <w:rPr>
                <w:rFonts w:ascii="Times New Roman" w:hAnsi="Times New Roman"/>
                <w:sz w:val="24"/>
              </w:rPr>
              <w:t>'</w:t>
            </w:r>
            <w:r>
              <w:rPr>
                <w:rFonts w:ascii="Times New Roman" w:hAnsi="Times New Roman"/>
                <w:sz w:val="24"/>
              </w:rPr>
              <w:t>articolo</w:t>
            </w:r>
            <w:r w:rsidR="00BC0A9B">
              <w:rPr>
                <w:rFonts w:ascii="Times New Roman" w:hAnsi="Times New Roman"/>
                <w:sz w:val="24"/>
              </w:rPr>
              <w:t> </w:t>
            </w:r>
            <w:r>
              <w:rPr>
                <w:rFonts w:ascii="Times New Roman" w:hAnsi="Times New Roman"/>
                <w:sz w:val="24"/>
              </w:rPr>
              <w:t>340, paragrafo 7, del regolamento (UE) n. 575/2013. La posizione è suddivisa in zone (1, 2 e 3).</w:t>
            </w:r>
          </w:p>
        </w:tc>
      </w:tr>
      <w:tr w:rsidR="000B0B09" w:rsidRPr="004B0EC7" w14:paraId="7DD483EC" w14:textId="77777777" w:rsidTr="00672D2A">
        <w:tc>
          <w:tcPr>
            <w:tcW w:w="987" w:type="dxa"/>
          </w:tcPr>
          <w:p w14:paraId="5974B232"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SPECIFICO</w:t>
            </w:r>
          </w:p>
          <w:p w14:paraId="29C6E3D0" w14:textId="77777777" w:rsidR="000B0B09" w:rsidRPr="004B0EC7" w:rsidRDefault="000B0B09" w:rsidP="00BC0A9B">
            <w:pPr>
              <w:suppressAutoHyphens/>
              <w:rPr>
                <w:rFonts w:ascii="Times New Roman" w:hAnsi="Times New Roman"/>
                <w:sz w:val="24"/>
              </w:rPr>
            </w:pPr>
            <w:r>
              <w:rPr>
                <w:rFonts w:ascii="Times New Roman" w:hAnsi="Times New Roman"/>
                <w:sz w:val="24"/>
              </w:rPr>
              <w:t xml:space="preserve">Somma degli importi segnalati nelle righe 0251, 0325 e 0330. </w:t>
            </w:r>
          </w:p>
          <w:p w14:paraId="4E1E5CA2" w14:textId="713508BC" w:rsidR="000B0B09" w:rsidRPr="004B0EC7" w:rsidRDefault="000B0B09" w:rsidP="00BC0A9B">
            <w:pPr>
              <w:suppressAutoHyphens/>
              <w:rPr>
                <w:rFonts w:ascii="Times New Roman" w:hAnsi="Times New Roman"/>
                <w:b/>
                <w:bCs/>
                <w:sz w:val="24"/>
                <w:u w:val="single"/>
              </w:rPr>
            </w:pPr>
            <w:r>
              <w:rPr>
                <w:rFonts w:ascii="Times New Roman" w:hAnsi="Times New Roman"/>
                <w:sz w:val="24"/>
              </w:rPr>
              <w:t>Posizioni su strumenti di debito negoziati soggette a requisiti di fondi propri per il rischio specifico e relativi requisiti patrimoniali conformemente all</w:t>
            </w:r>
            <w:r w:rsidR="00BC0A9B">
              <w:rPr>
                <w:rFonts w:ascii="Times New Roman" w:hAnsi="Times New Roman"/>
                <w:sz w:val="24"/>
              </w:rPr>
              <w:t>'</w:t>
            </w:r>
            <w:r>
              <w:rPr>
                <w:rFonts w:ascii="Times New Roman" w:hAnsi="Times New Roman"/>
                <w:sz w:val="24"/>
              </w:rPr>
              <w:t>articolo 92, paragrafo 4, lettera b), all</w:t>
            </w:r>
            <w:r w:rsidR="00BC0A9B">
              <w:rPr>
                <w:rFonts w:ascii="Times New Roman" w:hAnsi="Times New Roman"/>
                <w:sz w:val="24"/>
              </w:rPr>
              <w:t>'</w:t>
            </w:r>
            <w:r>
              <w:rPr>
                <w:rFonts w:ascii="Times New Roman" w:hAnsi="Times New Roman"/>
                <w:sz w:val="24"/>
              </w:rPr>
              <w:t>articolo 335, all</w:t>
            </w:r>
            <w:r w:rsidR="00BC0A9B">
              <w:rPr>
                <w:rFonts w:ascii="Times New Roman" w:hAnsi="Times New Roman"/>
                <w:sz w:val="24"/>
              </w:rPr>
              <w:t>'</w:t>
            </w:r>
            <w:r>
              <w:rPr>
                <w:rFonts w:ascii="Times New Roman" w:hAnsi="Times New Roman"/>
                <w:sz w:val="24"/>
              </w:rPr>
              <w:t>articolo 336, paragrafi 1, 2 e 3, e agli articoli 337 e 338 del regolamento (UE) n. 575/2013. Si rimanda altresì all</w:t>
            </w:r>
            <w:r w:rsidR="00BC0A9B">
              <w:rPr>
                <w:rFonts w:ascii="Times New Roman" w:hAnsi="Times New Roman"/>
                <w:sz w:val="24"/>
              </w:rPr>
              <w:t>'</w:t>
            </w:r>
            <w:r>
              <w:rPr>
                <w:rFonts w:ascii="Times New Roman" w:hAnsi="Times New Roman"/>
                <w:sz w:val="24"/>
              </w:rPr>
              <w:t>ultima frase dell</w:t>
            </w:r>
            <w:r w:rsidR="00BC0A9B">
              <w:rPr>
                <w:rFonts w:ascii="Times New Roman" w:hAnsi="Times New Roman"/>
                <w:sz w:val="24"/>
              </w:rPr>
              <w:t>'</w:t>
            </w:r>
            <w:r>
              <w:rPr>
                <w:rFonts w:ascii="Times New Roman" w:hAnsi="Times New Roman"/>
                <w:sz w:val="24"/>
              </w:rPr>
              <w:t>articolo 327, paragrafo 1, del regolamento (UE) n. 575/2013.</w:t>
            </w:r>
          </w:p>
        </w:tc>
      </w:tr>
      <w:tr w:rsidR="000B0B09" w:rsidRPr="004B0EC7" w14:paraId="6F8691E7" w14:textId="77777777" w:rsidTr="00672D2A">
        <w:tc>
          <w:tcPr>
            <w:tcW w:w="987" w:type="dxa"/>
          </w:tcPr>
          <w:p w14:paraId="5CD5E31A"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di fondi propri per strumenti di debito non inerenti a cartolarizzazione</w:t>
            </w:r>
          </w:p>
          <w:p w14:paraId="19437B35" w14:textId="77777777" w:rsidR="000B0B09" w:rsidRPr="004B0EC7" w:rsidRDefault="000B0B09" w:rsidP="00BC0A9B">
            <w:pPr>
              <w:suppressAutoHyphens/>
              <w:rPr>
                <w:rFonts w:ascii="Times New Roman" w:hAnsi="Times New Roman"/>
                <w:sz w:val="24"/>
              </w:rPr>
            </w:pPr>
            <w:r>
              <w:rPr>
                <w:rFonts w:ascii="Times New Roman" w:hAnsi="Times New Roman"/>
                <w:sz w:val="24"/>
              </w:rPr>
              <w:t>Somma degli importi segnalati nelle righe da 260 a 321.</w:t>
            </w:r>
          </w:p>
          <w:p w14:paraId="4CDA5DEB" w14:textId="4B5FB7D0" w:rsidR="000B0B09" w:rsidRPr="004B0EC7" w:rsidRDefault="000B0B09" w:rsidP="00BC0A9B">
            <w:pPr>
              <w:suppressAutoHyphens/>
              <w:rPr>
                <w:rFonts w:ascii="Times New Roman" w:hAnsi="Times New Roman"/>
                <w:sz w:val="24"/>
              </w:rPr>
            </w:pPr>
            <w:r>
              <w:rPr>
                <w:rFonts w:ascii="Times New Roman" w:hAnsi="Times New Roman"/>
                <w:sz w:val="24"/>
              </w:rPr>
              <w:t xml:space="preserve">Il requisito di fondi propri dei derivati su crediti </w:t>
            </w:r>
            <w:proofErr w:type="spellStart"/>
            <w:r>
              <w:rPr>
                <w:rFonts w:ascii="Times New Roman" w:hAnsi="Times New Roman"/>
                <w:sz w:val="24"/>
              </w:rPr>
              <w:t>nth</w:t>
            </w:r>
            <w:proofErr w:type="spellEnd"/>
            <w:r>
              <w:rPr>
                <w:rFonts w:ascii="Times New Roman" w:hAnsi="Times New Roman"/>
                <w:sz w:val="24"/>
              </w:rPr>
              <w:t xml:space="preserve">-to-default privi di rating esterno è calcolato sommando i fattori di ponderazione del rischio dei soggetti </w:t>
            </w:r>
            <w:r>
              <w:rPr>
                <w:rFonts w:ascii="Times New Roman" w:hAnsi="Times New Roman"/>
                <w:sz w:val="24"/>
              </w:rPr>
              <w:lastRenderedPageBreak/>
              <w:t>di riferimento (articolo 332, paragrafo 1, lettera e), e paragrafo 1, secondo</w:t>
            </w:r>
            <w:r w:rsidR="00BC0A9B">
              <w:rPr>
                <w:rFonts w:ascii="Times New Roman" w:hAnsi="Times New Roman"/>
                <w:sz w:val="24"/>
              </w:rPr>
              <w:t> </w:t>
            </w:r>
            <w:r>
              <w:rPr>
                <w:rFonts w:ascii="Times New Roman" w:hAnsi="Times New Roman"/>
                <w:sz w:val="24"/>
              </w:rPr>
              <w:t xml:space="preserve">comma, del regolamento (UE) n. 575/2013 – metodo </w:t>
            </w:r>
            <w:r w:rsidR="00BC0A9B">
              <w:rPr>
                <w:rFonts w:ascii="Times New Roman" w:hAnsi="Times New Roman"/>
                <w:sz w:val="24"/>
              </w:rPr>
              <w:t>"</w:t>
            </w:r>
            <w:r>
              <w:rPr>
                <w:rFonts w:ascii="Times New Roman" w:hAnsi="Times New Roman"/>
                <w:sz w:val="24"/>
              </w:rPr>
              <w:t>look-</w:t>
            </w:r>
            <w:proofErr w:type="spellStart"/>
            <w:r>
              <w:rPr>
                <w:rFonts w:ascii="Times New Roman" w:hAnsi="Times New Roman"/>
                <w:sz w:val="24"/>
              </w:rPr>
              <w:t>through</w:t>
            </w:r>
            <w:proofErr w:type="spellEnd"/>
            <w:r w:rsidR="00BC0A9B">
              <w:rPr>
                <w:rFonts w:ascii="Times New Roman" w:hAnsi="Times New Roman"/>
                <w:sz w:val="24"/>
              </w:rPr>
              <w:t>"</w:t>
            </w:r>
            <w:r>
              <w:rPr>
                <w:rFonts w:ascii="Times New Roman" w:hAnsi="Times New Roman"/>
                <w:sz w:val="24"/>
              </w:rPr>
              <w:t xml:space="preserve">). I derivati su crediti </w:t>
            </w:r>
            <w:proofErr w:type="spellStart"/>
            <w:r>
              <w:rPr>
                <w:rFonts w:ascii="Times New Roman" w:hAnsi="Times New Roman"/>
                <w:sz w:val="24"/>
              </w:rPr>
              <w:t>nth</w:t>
            </w:r>
            <w:proofErr w:type="spellEnd"/>
            <w:r>
              <w:rPr>
                <w:rFonts w:ascii="Times New Roman" w:hAnsi="Times New Roman"/>
                <w:sz w:val="24"/>
              </w:rPr>
              <w:t xml:space="preserve">-to-default provvisti di rating esterno (articolo 332, paragrafo 1, terzo comma, del regolamento (UE) n. 575/2013) sono indicati separatamente nella riga 321. </w:t>
            </w:r>
          </w:p>
          <w:p w14:paraId="7051ED04" w14:textId="644D7EC3" w:rsidR="000B0B09" w:rsidRPr="004B0EC7" w:rsidRDefault="000B0B09" w:rsidP="00BC0A9B">
            <w:pPr>
              <w:suppressAutoHyphens/>
              <w:rPr>
                <w:rFonts w:ascii="Times New Roman" w:hAnsi="Times New Roman"/>
                <w:sz w:val="24"/>
              </w:rPr>
            </w:pPr>
            <w:r>
              <w:rPr>
                <w:rFonts w:ascii="Times New Roman" w:hAnsi="Times New Roman"/>
                <w:sz w:val="24"/>
              </w:rPr>
              <w:t>Segnalazione di posizioni soggette all</w:t>
            </w:r>
            <w:r w:rsidR="00BC0A9B">
              <w:rPr>
                <w:rFonts w:ascii="Times New Roman" w:hAnsi="Times New Roman"/>
                <w:sz w:val="24"/>
              </w:rPr>
              <w:t>'</w:t>
            </w:r>
            <w:r>
              <w:rPr>
                <w:rFonts w:ascii="Times New Roman" w:hAnsi="Times New Roman"/>
                <w:sz w:val="24"/>
              </w:rPr>
              <w:t>articolo 336, paragrafo 3, del regolamento (UE) n. 575/2013: ai sensi dell</w:t>
            </w:r>
            <w:r w:rsidR="00BC0A9B">
              <w:rPr>
                <w:rFonts w:ascii="Times New Roman" w:hAnsi="Times New Roman"/>
                <w:sz w:val="24"/>
              </w:rPr>
              <w:t>'</w:t>
            </w:r>
            <w:r>
              <w:rPr>
                <w:rFonts w:ascii="Times New Roman" w:hAnsi="Times New Roman"/>
                <w:sz w:val="24"/>
              </w:rPr>
              <w:t>articolo 129, paragrafo 3, del regolamento (UE) n.</w:t>
            </w:r>
            <w:r w:rsidR="00BC0A9B">
              <w:rPr>
                <w:rFonts w:ascii="Times New Roman" w:hAnsi="Times New Roman"/>
                <w:sz w:val="24"/>
              </w:rPr>
              <w:t> </w:t>
            </w:r>
            <w:r>
              <w:rPr>
                <w:rFonts w:ascii="Times New Roman" w:hAnsi="Times New Roman"/>
                <w:sz w:val="24"/>
              </w:rPr>
              <w:t>575/2013, è previsto un trattamento specifico per le obbligazioni ammissibili a un fattore di ponderazione del rischio pari al 10</w:t>
            </w:r>
            <w:r w:rsidR="00BC0A9B">
              <w:rPr>
                <w:rFonts w:ascii="Times New Roman" w:hAnsi="Times New Roman"/>
                <w:sz w:val="24"/>
              </w:rPr>
              <w:t> </w:t>
            </w:r>
            <w:r>
              <w:rPr>
                <w:rFonts w:ascii="Times New Roman" w:hAnsi="Times New Roman"/>
                <w:sz w:val="24"/>
              </w:rPr>
              <w:t>% interne al portafoglio bancario (obbligazioni garantite)</w:t>
            </w:r>
            <w:r>
              <w:t>.</w:t>
            </w:r>
            <w:r>
              <w:rPr>
                <w:rFonts w:ascii="Times New Roman" w:hAnsi="Times New Roman"/>
                <w:sz w:val="24"/>
              </w:rPr>
              <w:t xml:space="preserve"> I requisiti specifici di fondi propri corrispondono alla metà della percentuale della seconda categoria di cui alla tabella 1 dell</w:t>
            </w:r>
            <w:r w:rsidR="00BC0A9B">
              <w:rPr>
                <w:rFonts w:ascii="Times New Roman" w:hAnsi="Times New Roman"/>
                <w:sz w:val="24"/>
              </w:rPr>
              <w:t>'</w:t>
            </w:r>
            <w:r>
              <w:rPr>
                <w:rFonts w:ascii="Times New Roman" w:hAnsi="Times New Roman"/>
                <w:sz w:val="24"/>
              </w:rPr>
              <w:t>articolo 336 del regolamento (UE) n. 575/2013. Le posizioni in questione sono assegnate alle righe 0280-0300 in funzione della durata residua.</w:t>
            </w:r>
          </w:p>
          <w:p w14:paraId="11FE9AD5" w14:textId="13EA9F09" w:rsidR="000B0B09" w:rsidRPr="004B0EC7" w:rsidRDefault="00F41508" w:rsidP="00BC0A9B">
            <w:pPr>
              <w:suppressAutoHyphens/>
              <w:rPr>
                <w:rFonts w:ascii="Times New Roman" w:hAnsi="Times New Roman"/>
                <w:b/>
                <w:bCs/>
                <w:sz w:val="24"/>
                <w:u w:val="single"/>
              </w:rPr>
            </w:pPr>
            <w:r>
              <w:rPr>
                <w:rFonts w:ascii="Times New Roman" w:hAnsi="Times New Roman"/>
                <w:sz w:val="24"/>
              </w:rPr>
              <w:t xml:space="preserve">Se il rischio generico delle posizioni su tassi di interesse è coperto da un derivato su crediti, si applicano gli articoli 346 e 347 del regolamento (UE) n. 575/2013. </w:t>
            </w:r>
          </w:p>
        </w:tc>
      </w:tr>
      <w:tr w:rsidR="000B0B09" w:rsidRPr="004B0EC7" w14:paraId="3F2475A8" w14:textId="77777777" w:rsidTr="00672D2A">
        <w:tc>
          <w:tcPr>
            <w:tcW w:w="987" w:type="dxa"/>
          </w:tcPr>
          <w:p w14:paraId="1898316C" w14:textId="77777777" w:rsidR="000B0B09" w:rsidRPr="004B0EC7" w:rsidDel="00F27BD6"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 per strumenti inerenti a cartolarizzazione</w:t>
            </w:r>
          </w:p>
          <w:p w14:paraId="7BA68AB7" w14:textId="7771B388" w:rsidR="00722A10" w:rsidRPr="004B0EC7" w:rsidDel="00F27BD6" w:rsidRDefault="000B0B09" w:rsidP="00BC0A9B">
            <w:pPr>
              <w:suppressAutoHyphens/>
              <w:rPr>
                <w:rFonts w:ascii="Times New Roman" w:hAnsi="Times New Roman"/>
                <w:b/>
                <w:bCs/>
                <w:sz w:val="24"/>
                <w:u w:val="single"/>
              </w:rPr>
            </w:pPr>
            <w:r>
              <w:rPr>
                <w:rFonts w:ascii="Times New Roman" w:hAnsi="Times New Roman"/>
                <w:sz w:val="24"/>
              </w:rPr>
              <w:t>Requisiti totali di fondi propri di cui alla colonna 0601 del modello MKR SSA SEC. Questi requisiti totali di fondi propri sono segnalati soltanto a livello di totale del modello MKR SSA TDI.</w:t>
            </w:r>
          </w:p>
        </w:tc>
      </w:tr>
      <w:tr w:rsidR="000B0B09" w:rsidRPr="004B0EC7" w14:paraId="55688787" w14:textId="77777777" w:rsidTr="00672D2A">
        <w:tc>
          <w:tcPr>
            <w:tcW w:w="987" w:type="dxa"/>
          </w:tcPr>
          <w:p w14:paraId="74C28C83" w14:textId="77777777" w:rsidR="000B0B09" w:rsidRPr="004B0EC7" w:rsidDel="00F27BD6"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 per il portafoglio di negoziazione di correlazione</w:t>
            </w:r>
          </w:p>
          <w:p w14:paraId="104F8330" w14:textId="55BA6B97" w:rsidR="00722A10" w:rsidRPr="004B0EC7" w:rsidDel="00F27BD6" w:rsidRDefault="000B0B09" w:rsidP="00BC0A9B">
            <w:pPr>
              <w:suppressAutoHyphens/>
              <w:rPr>
                <w:rFonts w:ascii="Times New Roman" w:hAnsi="Times New Roman"/>
                <w:b/>
                <w:bCs/>
                <w:sz w:val="24"/>
                <w:u w:val="single"/>
              </w:rPr>
            </w:pPr>
            <w:r>
              <w:rPr>
                <w:rFonts w:ascii="Times New Roman" w:hAnsi="Times New Roman"/>
                <w:sz w:val="24"/>
              </w:rPr>
              <w:t>Requisiti totali di fondi propri segnalati nella colonna 0450 del modello MKR SSA CTP. Questi requisiti totali di fondi propri sono segnalati soltanto a livello di totale del modello MKR SSA TDI.</w:t>
            </w:r>
          </w:p>
        </w:tc>
      </w:tr>
      <w:tr w:rsidR="000B0B09" w:rsidRPr="004B0EC7" w14:paraId="230D0723" w14:textId="77777777" w:rsidTr="00672D2A">
        <w:tc>
          <w:tcPr>
            <w:tcW w:w="987" w:type="dxa"/>
          </w:tcPr>
          <w:p w14:paraId="26241DA3" w14:textId="77777777" w:rsidR="000B0B09"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BC0A9B">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REQUISITI AGGIUNTIVI PER LE OPZIONI (RISCHI NON DELTA) </w:t>
            </w:r>
          </w:p>
          <w:p w14:paraId="3B19069A" w14:textId="2AE3D272" w:rsidR="000B0B09" w:rsidRPr="004B0EC7" w:rsidRDefault="000B0B09" w:rsidP="00BC0A9B">
            <w:pPr>
              <w:suppressAutoHyphens/>
              <w:rPr>
                <w:rFonts w:ascii="Times New Roman" w:hAnsi="Times New Roman"/>
                <w:sz w:val="24"/>
              </w:rPr>
            </w:pPr>
            <w:r>
              <w:rPr>
                <w:rFonts w:ascii="Times New Roman" w:hAnsi="Times New Roman"/>
                <w:sz w:val="24"/>
              </w:rPr>
              <w:t>Articolo 329, paragrafo 3, del regolamento (UE) n. 575/2013.</w:t>
            </w:r>
          </w:p>
          <w:p w14:paraId="4A1F04EE" w14:textId="77777777" w:rsidR="000B0B09" w:rsidRPr="004B0EC7" w:rsidRDefault="000B0B09" w:rsidP="00BC0A9B">
            <w:pPr>
              <w:suppressAutoHyphens/>
              <w:rPr>
                <w:rFonts w:ascii="Times New Roman" w:hAnsi="Times New Roman"/>
                <w:bCs/>
                <w:sz w:val="24"/>
              </w:rPr>
            </w:pPr>
            <w:r>
              <w:rPr>
                <w:rFonts w:ascii="Times New Roman" w:hAnsi="Times New Roman"/>
                <w:sz w:val="24"/>
              </w:rPr>
              <w:t>I requisiti aggiuntivi per opzioni correlati ai rischi diversi dal rischio delta sono segnalati ripartendoli in funzione del metodo utilizzato per il calcolo.</w:t>
            </w:r>
          </w:p>
        </w:tc>
      </w:tr>
    </w:tbl>
    <w:p w14:paraId="45D79A0A" w14:textId="77777777" w:rsidR="000B0B09" w:rsidRPr="004B0EC7" w:rsidRDefault="000B0B09" w:rsidP="00BC0A9B">
      <w:pPr>
        <w:suppressAutoHyphens/>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rsidRPr="002D6CC5">
        <w:rPr>
          <w:u w:val="none"/>
        </w:rPr>
        <w:tab/>
      </w:r>
      <w:r>
        <w:rPr>
          <w:rFonts w:ascii="Times New Roman" w:hAnsi="Times New Roman"/>
          <w:sz w:val="24"/>
        </w:rPr>
        <w:t>C 19.01 – Rischio di mercato: Metodo standardizzato semplificato per il rischio specifico su cartolarizzazioni (MKR SSA SEC)</w:t>
      </w:r>
      <w:bookmarkEnd w:id="40"/>
      <w:bookmarkEnd w:id="41"/>
      <w:bookmarkEnd w:id="42"/>
      <w:bookmarkEnd w:id="43"/>
      <w:bookmarkEnd w:id="44"/>
      <w:bookmarkEnd w:id="45"/>
      <w:bookmarkEnd w:id="46"/>
    </w:p>
    <w:p w14:paraId="77E74540" w14:textId="77777777"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rsidRPr="002D6CC5">
        <w:rPr>
          <w:u w:val="none"/>
        </w:rPr>
        <w:tab/>
      </w:r>
      <w:r>
        <w:rPr>
          <w:rFonts w:ascii="Times New Roman" w:hAnsi="Times New Roman"/>
          <w:sz w:val="24"/>
        </w:rPr>
        <w:t>Osservazioni di carattere generale</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BC0A9B">
      <w:pPr>
        <w:pStyle w:val="InstructionsText2"/>
        <w:numPr>
          <w:ilvl w:val="0"/>
          <w:numId w:val="0"/>
        </w:numPr>
        <w:suppressAutoHyphens/>
        <w:ind w:left="993"/>
      </w:pPr>
      <w:r>
        <w:fldChar w:fldCharType="begin"/>
      </w:r>
      <w:r>
        <w:instrText xml:space="preserve"> seq paragraphs </w:instrText>
      </w:r>
      <w:r>
        <w:fldChar w:fldCharType="separate"/>
      </w:r>
      <w:r>
        <w:t>162</w:t>
      </w:r>
      <w:r>
        <w:fldChar w:fldCharType="end"/>
      </w:r>
      <w:r>
        <w:t>.</w:t>
      </w:r>
      <w:r>
        <w:tab/>
        <w:t xml:space="preserve"> Questo modello serve per la segnalazione di informazioni sulle posizioni (totali/nette e lunghe/corte) e sui relativi requisiti di fondi propri per la componente di rischio specifico del rischio di posizione su cartolarizzazioni/</w:t>
      </w:r>
      <w:proofErr w:type="spellStart"/>
      <w:r>
        <w:t>ricartolarizzazioni</w:t>
      </w:r>
      <w:proofErr w:type="spellEnd"/>
      <w:r>
        <w:t xml:space="preserve"> detenute nel portafoglio di negoziazione (non ammissibili al portafoglio di negoziazione di correlazione) secondo il metodo standardizzato. </w:t>
      </w:r>
    </w:p>
    <w:p w14:paraId="2729DF95" w14:textId="21DBEA1E" w:rsidR="00FC6275"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163</w:t>
      </w:r>
      <w:r>
        <w:fldChar w:fldCharType="end"/>
      </w:r>
      <w:r>
        <w:t>.</w:t>
      </w:r>
      <w:r>
        <w:tab/>
        <w:t xml:space="preserve"> Il modello MKR SSA SEC presenta il requisito di fondi propri soltanto per il rischio specifico delle posizioni verso la cartolarizzazione conformemente all</w:t>
      </w:r>
      <w:r w:rsidR="00BC0A9B">
        <w:t>'</w:t>
      </w:r>
      <w:r>
        <w:t>articolo 335 del regolamento (UE) n. 575/2013 in combinato disposto con l</w:t>
      </w:r>
      <w:r w:rsidR="00BC0A9B">
        <w:t>'</w:t>
      </w:r>
      <w:r>
        <w:t>articolo 337 di tale regolamento. Se le posizioni verso la cartolarizzazione interne al portafoglio di negoziazione sono coperte da derivati su crediti, si applicano gli articoli 346 e 347 del regolamento (UE) n. 575/2013. C</w:t>
      </w:r>
      <w:r w:rsidR="00BC0A9B">
        <w:t>'</w:t>
      </w:r>
      <w:r>
        <w:t xml:space="preserve">è un solo modello per tutte </w:t>
      </w:r>
      <w:r>
        <w:lastRenderedPageBreak/>
        <w:t>le posizioni del portafoglio di negoziazione, a prescindere dal metodo di cui si avvale l</w:t>
      </w:r>
      <w:r w:rsidR="00BC0A9B">
        <w:t>'</w:t>
      </w:r>
      <w:r>
        <w:t>ente per stabilire la ponderazione del rischio di ciascuna posizione conformemente alla parte tre, titolo II, capo 5, del regolamento (UE) n. 575/2013. Per segnalare i requisiti di fondi propri per il rischio generico di queste posizioni si utilizza il modello MKR SSA TDI o il modello MKR IM.</w:t>
      </w:r>
    </w:p>
    <w:p w14:paraId="0C732A14" w14:textId="5EBD2650" w:rsidR="00FC6275"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164</w:t>
      </w:r>
      <w:r>
        <w:fldChar w:fldCharType="end"/>
      </w:r>
      <w:r>
        <w:t>. In alternativa, le posizioni soggette a un fattore di ponderazione del rischio del 1 250 % possono essere dedotte dal capitale primario di classe 1 (cfr. l</w:t>
      </w:r>
      <w:r w:rsidR="00BC0A9B">
        <w:t>'</w:t>
      </w:r>
      <w:r>
        <w:t>articolo 244, paragrafo 1, lettera b), l</w:t>
      </w:r>
      <w:r w:rsidR="00BC0A9B">
        <w:t>'</w:t>
      </w:r>
      <w:r>
        <w:t>articolo 245, paragrafo 1, lettera b), e l</w:t>
      </w:r>
      <w:r w:rsidR="00BC0A9B">
        <w:t>'</w:t>
      </w:r>
      <w:r>
        <w:t>articolo 253 del regolamento (UE) n. 575/2013). In tal caso, queste posizioni devono essere segnalate nella riga 0460 del CA1.</w:t>
      </w:r>
    </w:p>
    <w:p w14:paraId="3921F7AA" w14:textId="56C18CF3"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60" w:name="_Toc151714491"/>
      <w:r>
        <w:rPr>
          <w:rFonts w:ascii="Times New Roman" w:hAnsi="Times New Roman"/>
          <w:sz w:val="24"/>
          <w:u w:val="none"/>
        </w:rPr>
        <w:t>5.2.2.</w:t>
      </w:r>
      <w:r w:rsidRPr="00AC0A4B">
        <w:rPr>
          <w:u w:val="none"/>
        </w:rPr>
        <w:tab/>
      </w:r>
      <w:r>
        <w:rPr>
          <w:rFonts w:ascii="Times New Roman" w:hAnsi="Times New Roman"/>
          <w:sz w:val="24"/>
        </w:rPr>
        <w:t>Istruzioni relative a posizioni specifiche</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C55547" w:rsidRPr="004B0EC7" w14:paraId="25DD94D3" w14:textId="77777777" w:rsidTr="000911FE">
        <w:tc>
          <w:tcPr>
            <w:tcW w:w="1413" w:type="dxa"/>
          </w:tcPr>
          <w:p w14:paraId="1C45AB39"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503F4241" w14:textId="368BCC02" w:rsidR="00C55547" w:rsidRPr="004B0EC7" w:rsidRDefault="00C55547" w:rsidP="00BC0A9B">
            <w:pPr>
              <w:suppressAutoHyphens/>
              <w:rPr>
                <w:rFonts w:ascii="Times New Roman" w:hAnsi="Times New Roman"/>
                <w:sz w:val="24"/>
              </w:rPr>
            </w:pPr>
            <w:r>
              <w:rPr>
                <w:rFonts w:ascii="Times New Roman" w:hAnsi="Times New Roman"/>
                <w:sz w:val="24"/>
              </w:rPr>
              <w:t>Articolo 102 e articolo 105, paragrafo 1, del regolamento (UE) n. 575/2013 in combinato disposto con l</w:t>
            </w:r>
            <w:r w:rsidR="00BC0A9B">
              <w:rPr>
                <w:rFonts w:ascii="Times New Roman" w:hAnsi="Times New Roman"/>
                <w:sz w:val="24"/>
              </w:rPr>
              <w:t>'</w:t>
            </w:r>
            <w:r>
              <w:rPr>
                <w:rFonts w:ascii="Times New Roman" w:hAnsi="Times New Roman"/>
                <w:sz w:val="24"/>
              </w:rPr>
              <w:t>articolo 337 di tale regolamento (posizioni verso la cartolarizzazione).</w:t>
            </w:r>
            <w:r>
              <w:rPr>
                <w:rStyle w:val="InstructionsTabelleText"/>
                <w:rFonts w:ascii="Times New Roman" w:hAnsi="Times New Roman"/>
                <w:sz w:val="24"/>
              </w:rPr>
              <w:t xml:space="preserve"> </w:t>
            </w:r>
            <w:r>
              <w:rPr>
                <w:rFonts w:ascii="Times New Roman" w:hAnsi="Times New Roman"/>
                <w:sz w:val="24"/>
              </w:rPr>
              <w:t>Per la distinzione tra posizioni lunghe e posizioni corte, applicabile anche a queste posizioni lorde, cfr. l</w:t>
            </w:r>
            <w:r w:rsidR="00BC0A9B">
              <w:rPr>
                <w:rFonts w:ascii="Times New Roman" w:hAnsi="Times New Roman"/>
                <w:sz w:val="24"/>
              </w:rPr>
              <w:t>'</w:t>
            </w:r>
            <w:r>
              <w:rPr>
                <w:rFonts w:ascii="Times New Roman" w:hAnsi="Times New Roman"/>
                <w:sz w:val="24"/>
              </w:rPr>
              <w:t>articolo 328, paragrafo 2, del regolamento (UE) n. 575/2013.</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 POSIZIONI DEDOTTE DAI FONDI PROPRI</w:t>
            </w:r>
            <w:r>
              <w:rPr>
                <w:rFonts w:ascii="Times New Roman" w:hAnsi="Times New Roman"/>
                <w:b/>
                <w:sz w:val="24"/>
                <w:u w:val="single"/>
              </w:rPr>
              <w:t xml:space="preserve"> (LUNGHE E CORTE)</w:t>
            </w:r>
          </w:p>
          <w:p w14:paraId="1429CBFE" w14:textId="195B80FA" w:rsidR="00C55547" w:rsidRPr="004B0EC7" w:rsidRDefault="00705025" w:rsidP="00BC0A9B">
            <w:pPr>
              <w:suppressAutoHyphens/>
              <w:rPr>
                <w:rStyle w:val="InstructionsTabelleText"/>
                <w:rFonts w:ascii="Times New Roman" w:hAnsi="Times New Roman"/>
                <w:sz w:val="24"/>
              </w:rPr>
            </w:pPr>
            <w:r>
              <w:rPr>
                <w:rStyle w:val="InstructionsTabelleText"/>
                <w:rFonts w:ascii="Times New Roman" w:hAnsi="Times New Roman"/>
                <w:sz w:val="24"/>
              </w:rPr>
              <w:t xml:space="preserve">Articolo 244, paragrafo 1, lettera b), articolo 245, paragrafo 1, lettera b), e articolo 253 </w:t>
            </w:r>
            <w:r>
              <w:rPr>
                <w:rFonts w:ascii="Times New Roman" w:hAnsi="Times New Roman"/>
                <w:sz w:val="24"/>
              </w:rPr>
              <w:t>del regolamento (UE) n. 575/2013</w:t>
            </w:r>
          </w:p>
        </w:tc>
      </w:tr>
      <w:tr w:rsidR="00C55547" w:rsidRPr="004B0EC7" w14:paraId="16C58348" w14:textId="77777777" w:rsidTr="000911FE">
        <w:tc>
          <w:tcPr>
            <w:tcW w:w="1413" w:type="dxa"/>
          </w:tcPr>
          <w:p w14:paraId="2D1E9030"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POSIZIONI NETTE</w:t>
            </w:r>
            <w:r>
              <w:rPr>
                <w:rFonts w:ascii="Times New Roman" w:hAnsi="Times New Roman"/>
                <w:b/>
                <w:sz w:val="24"/>
                <w:u w:val="single"/>
              </w:rPr>
              <w:t xml:space="preserve"> (LUNGHE E CORTE)</w:t>
            </w:r>
          </w:p>
          <w:p w14:paraId="54C14D76" w14:textId="3149D943" w:rsidR="00C55547" w:rsidRPr="004B0EC7" w:rsidRDefault="00C55547" w:rsidP="00BC0A9B">
            <w:pPr>
              <w:suppressAutoHyphens/>
              <w:rPr>
                <w:rStyle w:val="InstructionsTabelleText"/>
                <w:rFonts w:ascii="Times New Roman" w:hAnsi="Times New Roman"/>
                <w:sz w:val="24"/>
              </w:rPr>
            </w:pPr>
            <w:r>
              <w:rPr>
                <w:rFonts w:ascii="Times New Roman" w:hAnsi="Times New Roman"/>
                <w:sz w:val="24"/>
              </w:rPr>
              <w:t>Articoli 327, 328, 329 e 334 del regolamento (UE) n. 575/2013</w:t>
            </w:r>
            <w:r>
              <w:rPr>
                <w:rStyle w:val="InstructionsTabelleText"/>
                <w:rFonts w:ascii="Times New Roman" w:hAnsi="Times New Roman"/>
                <w:sz w:val="24"/>
              </w:rPr>
              <w:t xml:space="preserve"> </w:t>
            </w:r>
            <w:r>
              <w:rPr>
                <w:rFonts w:ascii="Times New Roman" w:hAnsi="Times New Roman"/>
                <w:sz w:val="24"/>
              </w:rPr>
              <w:t>Per la distinzione tra posizioni lunghe e posizioni corte cfr. l</w:t>
            </w:r>
            <w:r w:rsidR="00BC0A9B">
              <w:rPr>
                <w:rFonts w:ascii="Times New Roman" w:hAnsi="Times New Roman"/>
                <w:sz w:val="24"/>
              </w:rPr>
              <w:t>'</w:t>
            </w:r>
            <w:r>
              <w:rPr>
                <w:rFonts w:ascii="Times New Roman" w:hAnsi="Times New Roman"/>
                <w:sz w:val="24"/>
              </w:rPr>
              <w:t>articolo 328, paragrafo</w:t>
            </w:r>
            <w:r w:rsidR="00BC0A9B">
              <w:rPr>
                <w:rFonts w:ascii="Times New Roman" w:hAnsi="Times New Roman"/>
                <w:sz w:val="24"/>
              </w:rPr>
              <w:t> </w:t>
            </w:r>
            <w:r>
              <w:rPr>
                <w:rFonts w:ascii="Times New Roman" w:hAnsi="Times New Roman"/>
                <w:sz w:val="24"/>
              </w:rPr>
              <w:t>2, del regolamento (UE) n. 575/2013.</w:t>
            </w:r>
          </w:p>
        </w:tc>
      </w:tr>
      <w:tr w:rsidR="00C55547" w:rsidRPr="004B0EC7" w14:paraId="0BDF729C" w14:textId="77777777" w:rsidTr="000911FE">
        <w:tc>
          <w:tcPr>
            <w:tcW w:w="1413" w:type="dxa"/>
          </w:tcPr>
          <w:p w14:paraId="324A2BB6"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NETTE IN BASE AI FATTORI DI PONDERAZIONE DEL RISCHIO</w:t>
            </w:r>
          </w:p>
          <w:p w14:paraId="3ECFC065" w14:textId="3165A588" w:rsidR="00C3548F" w:rsidRPr="004B0EC7" w:rsidRDefault="00C55547" w:rsidP="00BC0A9B">
            <w:pPr>
              <w:suppressAutoHyphens/>
              <w:rPr>
                <w:rStyle w:val="InstructionsTabelleText"/>
                <w:rFonts w:ascii="Times New Roman" w:hAnsi="Times New Roman"/>
                <w:sz w:val="24"/>
              </w:rPr>
            </w:pPr>
            <w:r>
              <w:rPr>
                <w:rFonts w:ascii="Times New Roman" w:hAnsi="Times New Roman"/>
                <w:sz w:val="24"/>
              </w:rPr>
              <w:t>Articoli da 259 a 262, tabelle 1 e 2 dell</w:t>
            </w:r>
            <w:r w:rsidR="00BC0A9B">
              <w:rPr>
                <w:rFonts w:ascii="Times New Roman" w:hAnsi="Times New Roman"/>
                <w:sz w:val="24"/>
              </w:rPr>
              <w:t>'</w:t>
            </w:r>
            <w:r>
              <w:rPr>
                <w:rFonts w:ascii="Times New Roman" w:hAnsi="Times New Roman"/>
                <w:sz w:val="24"/>
              </w:rPr>
              <w:t>articolo 263, tabelle 3 e 4</w:t>
            </w:r>
            <w:r>
              <w:rPr>
                <w:rFonts w:ascii="Times New Roman" w:hAnsi="Times New Roman"/>
                <w:sz w:val="24"/>
              </w:rPr>
              <w:cr/>
            </w:r>
            <w:r>
              <w:rPr>
                <w:rFonts w:ascii="Times New Roman" w:hAnsi="Times New Roman"/>
                <w:sz w:val="24"/>
              </w:rPr>
              <w:br/>
              <w:t>dell</w:t>
            </w:r>
            <w:r w:rsidR="00BC0A9B">
              <w:rPr>
                <w:rFonts w:ascii="Times New Roman" w:hAnsi="Times New Roman"/>
                <w:sz w:val="24"/>
              </w:rPr>
              <w:t>'</w:t>
            </w:r>
            <w:r>
              <w:rPr>
                <w:rFonts w:ascii="Times New Roman" w:hAnsi="Times New Roman"/>
                <w:sz w:val="24"/>
              </w:rPr>
              <w:t>articolo 264 e articolo 266 del regolamento (UE) n. 575/2013.</w:t>
            </w:r>
            <w:r>
              <w:rPr>
                <w:rStyle w:val="InstructionsTabelleText"/>
                <w:rFonts w:ascii="Times New Roman" w:hAnsi="Times New Roman"/>
                <w:sz w:val="24"/>
              </w:rPr>
              <w:t xml:space="preserve"> </w:t>
            </w:r>
          </w:p>
          <w:p w14:paraId="4314B137" w14:textId="77777777" w:rsidR="00C55547" w:rsidRPr="004B0EC7" w:rsidRDefault="00C55547" w:rsidP="00BC0A9B">
            <w:pPr>
              <w:suppressAutoHyphens/>
              <w:rPr>
                <w:rStyle w:val="InstructionsTabelleText"/>
                <w:rFonts w:ascii="Times New Roman" w:hAnsi="Times New Roman"/>
                <w:sz w:val="24"/>
              </w:rPr>
            </w:pPr>
            <w:r>
              <w:rPr>
                <w:rStyle w:val="InstructionsTabelleText"/>
                <w:rFonts w:ascii="Times New Roman" w:hAnsi="Times New Roman"/>
                <w:sz w:val="24"/>
              </w:rPr>
              <w:t>La ripartizione è indicata separatamente per le posizioni lunghe e per quelle corte.</w:t>
            </w:r>
          </w:p>
        </w:tc>
      </w:tr>
      <w:tr w:rsidR="00C55547" w:rsidRPr="004B0EC7" w14:paraId="2A20E80A" w14:textId="77777777" w:rsidTr="000911FE">
        <w:tc>
          <w:tcPr>
            <w:tcW w:w="1413" w:type="dxa"/>
          </w:tcPr>
          <w:p w14:paraId="163C862B"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NETTE IN BASE AI METODI</w:t>
            </w:r>
          </w:p>
          <w:p w14:paraId="683DE902" w14:textId="55DF04AD" w:rsidR="00C55547" w:rsidRPr="004B0EC7" w:rsidRDefault="00C55547" w:rsidP="00BC0A9B">
            <w:pPr>
              <w:suppressAutoHyphens/>
              <w:rPr>
                <w:rFonts w:ascii="Times New Roman" w:hAnsi="Times New Roman"/>
                <w:b/>
                <w:bCs/>
                <w:sz w:val="24"/>
                <w:u w:val="single"/>
              </w:rPr>
            </w:pPr>
            <w:r>
              <w:rPr>
                <w:rFonts w:ascii="Times New Roman" w:hAnsi="Times New Roman"/>
                <w:sz w:val="24"/>
              </w:rPr>
              <w:t>Articolo 254 del regolamento (UE) n. 575/2013</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BC0A9B">
            <w:pPr>
              <w:suppressAutoHyphens/>
              <w:rPr>
                <w:rFonts w:ascii="Times New Roman" w:hAnsi="Times New Roman"/>
                <w:b/>
                <w:bCs/>
                <w:sz w:val="24"/>
                <w:u w:val="single"/>
              </w:rPr>
            </w:pPr>
            <w:r>
              <w:rPr>
                <w:rStyle w:val="InstructionsTabelleText"/>
                <w:rFonts w:ascii="Times New Roman" w:hAnsi="Times New Roman"/>
                <w:sz w:val="24"/>
              </w:rPr>
              <w:t>Articoli 259 e 260</w:t>
            </w:r>
            <w:r>
              <w:rPr>
                <w:rFonts w:ascii="Times New Roman" w:hAnsi="Times New Roman"/>
                <w:sz w:val="24"/>
              </w:rPr>
              <w:t xml:space="preserve"> del regolamento (UE) n. 575/2013</w:t>
            </w:r>
          </w:p>
        </w:tc>
      </w:tr>
      <w:tr w:rsidR="00C55547" w:rsidRPr="004B0EC7" w14:paraId="16BB3DCB" w14:textId="77777777" w:rsidTr="000911FE">
        <w:tc>
          <w:tcPr>
            <w:tcW w:w="1413" w:type="dxa"/>
          </w:tcPr>
          <w:p w14:paraId="189036B1"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BC0A9B">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Articoli 261 e 262</w:t>
            </w:r>
            <w:r>
              <w:rPr>
                <w:rFonts w:ascii="Times New Roman" w:hAnsi="Times New Roman"/>
                <w:sz w:val="24"/>
              </w:rPr>
              <w:t xml:space="preserve"> del regolamento (UE) n. 575/2013</w:t>
            </w:r>
          </w:p>
        </w:tc>
      </w:tr>
      <w:tr w:rsidR="00C55547" w:rsidRPr="004B0EC7" w14:paraId="0B1E8511" w14:textId="77777777" w:rsidTr="000911FE">
        <w:tc>
          <w:tcPr>
            <w:tcW w:w="1413" w:type="dxa"/>
          </w:tcPr>
          <w:p w14:paraId="283E5722"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0404</w:t>
            </w:r>
          </w:p>
        </w:tc>
        <w:tc>
          <w:tcPr>
            <w:tcW w:w="7605" w:type="dxa"/>
          </w:tcPr>
          <w:p w14:paraId="7AA18AA4" w14:textId="7777777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BC0A9B">
            <w:pPr>
              <w:suppressAutoHyphens/>
              <w:rPr>
                <w:rFonts w:ascii="Times New Roman" w:hAnsi="Times New Roman"/>
                <w:b/>
                <w:bCs/>
                <w:sz w:val="24"/>
                <w:u w:val="single"/>
              </w:rPr>
            </w:pPr>
            <w:r>
              <w:rPr>
                <w:rStyle w:val="InstructionsTabelleText"/>
                <w:rFonts w:ascii="Times New Roman" w:hAnsi="Times New Roman"/>
                <w:sz w:val="24"/>
              </w:rPr>
              <w:t>Articoli 263 e 264</w:t>
            </w:r>
            <w:r>
              <w:rPr>
                <w:rFonts w:ascii="Times New Roman" w:hAnsi="Times New Roman"/>
                <w:sz w:val="24"/>
              </w:rPr>
              <w:t xml:space="preserve"> del regolamento (UE) n. 575/2013</w:t>
            </w:r>
          </w:p>
        </w:tc>
      </w:tr>
      <w:tr w:rsidR="00C55547" w:rsidRPr="004B0EC7" w14:paraId="76051CC7" w14:textId="77777777" w:rsidTr="000911FE">
        <w:tc>
          <w:tcPr>
            <w:tcW w:w="1413" w:type="dxa"/>
          </w:tcPr>
          <w:p w14:paraId="2CE39EAA"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DELLA VALUTAZIONE INTERNA</w:t>
            </w:r>
          </w:p>
          <w:p w14:paraId="5354C48C" w14:textId="67E47F49" w:rsidR="00C55547" w:rsidRPr="004B0EC7" w:rsidRDefault="00C55547" w:rsidP="00BC0A9B">
            <w:pPr>
              <w:suppressAutoHyphens/>
              <w:rPr>
                <w:rFonts w:ascii="Times New Roman" w:hAnsi="Times New Roman"/>
                <w:bCs/>
                <w:sz w:val="24"/>
                <w:u w:val="single"/>
              </w:rPr>
            </w:pPr>
            <w:r>
              <w:rPr>
                <w:rFonts w:ascii="Times New Roman" w:hAnsi="Times New Roman"/>
                <w:sz w:val="24"/>
              </w:rPr>
              <w:t>Articoli 254 e 265 e articolo 266, paragrafo 5, del regolamento (UE) n. 575/2013.</w:t>
            </w:r>
          </w:p>
        </w:tc>
      </w:tr>
      <w:tr w:rsidR="0033476C" w:rsidRPr="004B0EC7" w14:paraId="00803C23" w14:textId="77777777" w:rsidTr="000911FE">
        <w:tc>
          <w:tcPr>
            <w:tcW w:w="1413" w:type="dxa"/>
          </w:tcPr>
          <w:p w14:paraId="6969B7D6" w14:textId="7D0DF91C" w:rsidR="0033476C" w:rsidRPr="004B0EC7" w:rsidRDefault="0033476C"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BC0A9B">
            <w:pPr>
              <w:suppressAutoHyphens/>
              <w:spacing w:before="0" w:after="0"/>
              <w:jc w:val="left"/>
              <w:rPr>
                <w:rFonts w:ascii="Times New Roman" w:hAnsi="Times New Roman"/>
                <w:b/>
                <w:sz w:val="24"/>
                <w:u w:val="single"/>
              </w:rPr>
            </w:pPr>
            <w:r>
              <w:rPr>
                <w:rFonts w:ascii="Times New Roman" w:hAnsi="Times New Roman"/>
                <w:b/>
                <w:sz w:val="24"/>
                <w:u w:val="single"/>
              </w:rPr>
              <w:t>TRATTAMENTO SPECIFICO PER I SEGMENTI SENIOR DELLE CARTOLARIZZAZIONI AMMISSIBILI DI ESPOSIZIONI DETERIORATE</w:t>
            </w:r>
          </w:p>
          <w:p w14:paraId="17BE744C" w14:textId="0A44FB4D" w:rsidR="0033476C" w:rsidRPr="004B0EC7" w:rsidRDefault="0033476C" w:rsidP="00BC0A9B">
            <w:pPr>
              <w:suppressAutoHyphens/>
              <w:rPr>
                <w:rFonts w:ascii="Times New Roman" w:hAnsi="Times New Roman"/>
                <w:b/>
                <w:bCs/>
                <w:sz w:val="24"/>
                <w:u w:val="single"/>
              </w:rPr>
            </w:pPr>
            <w:r>
              <w:rPr>
                <w:rFonts w:ascii="Times New Roman" w:hAnsi="Times New Roman"/>
                <w:sz w:val="24"/>
              </w:rPr>
              <w:t>Articolo 269 bis, paragrafo 3, del regolamento (UE) n. 575/2013</w:t>
            </w:r>
          </w:p>
        </w:tc>
      </w:tr>
      <w:tr w:rsidR="00C55547" w:rsidRPr="004B0EC7" w14:paraId="05BEB883" w14:textId="77777777" w:rsidTr="000911FE">
        <w:tc>
          <w:tcPr>
            <w:tcW w:w="1413" w:type="dxa"/>
          </w:tcPr>
          <w:p w14:paraId="3D2DEA0A"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ALTRO (RW = 1 250 %)</w:t>
            </w:r>
          </w:p>
          <w:p w14:paraId="1684F52F" w14:textId="43F3FE5E" w:rsidR="00C55547" w:rsidRPr="004B0EC7" w:rsidRDefault="00C55547" w:rsidP="00BC0A9B">
            <w:pPr>
              <w:suppressAutoHyphens/>
              <w:rPr>
                <w:rFonts w:ascii="Times New Roman" w:hAnsi="Times New Roman"/>
                <w:b/>
                <w:bCs/>
                <w:sz w:val="24"/>
                <w:u w:val="single"/>
              </w:rPr>
            </w:pPr>
            <w:r>
              <w:rPr>
                <w:rFonts w:ascii="Times New Roman" w:hAnsi="Times New Roman"/>
                <w:sz w:val="24"/>
              </w:rPr>
              <w:t>Articolo 254, paragrafo 7, del regolamento (UE) n. 575/2013</w:t>
            </w:r>
          </w:p>
        </w:tc>
      </w:tr>
      <w:tr w:rsidR="00C55547" w:rsidRPr="004B0EC7" w14:paraId="11316298" w14:textId="77777777" w:rsidTr="000911FE">
        <w:tc>
          <w:tcPr>
            <w:tcW w:w="1413" w:type="dxa"/>
          </w:tcPr>
          <w:p w14:paraId="00B9220E"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EFFETTO GENERALE (RETTIFICA) DOVUTO ALLA VIOLAZIONE DEL CAPO 2 DEL REGOLAMENTO (UE) 2017/2402</w:t>
            </w:r>
          </w:p>
          <w:p w14:paraId="3FBEAE4C" w14:textId="027236BE" w:rsidR="00C55547" w:rsidRPr="004B0EC7" w:rsidRDefault="00C55547" w:rsidP="00BC0A9B">
            <w:pPr>
              <w:suppressAutoHyphens/>
              <w:rPr>
                <w:rFonts w:ascii="Times New Roman" w:hAnsi="Times New Roman"/>
                <w:b/>
                <w:bCs/>
                <w:sz w:val="24"/>
                <w:u w:val="single"/>
              </w:rPr>
            </w:pPr>
            <w:r>
              <w:rPr>
                <w:rFonts w:ascii="Times New Roman" w:hAnsi="Times New Roman"/>
                <w:sz w:val="24"/>
              </w:rPr>
              <w:t>Articolo 270 bis del regolamento (UE) n. 575/2013</w:t>
            </w:r>
          </w:p>
        </w:tc>
      </w:tr>
      <w:tr w:rsidR="00C55547" w:rsidRPr="004B0EC7" w14:paraId="2BA98A90" w14:textId="77777777" w:rsidTr="000911FE">
        <w:tc>
          <w:tcPr>
            <w:tcW w:w="1413" w:type="dxa"/>
          </w:tcPr>
          <w:p w14:paraId="2EA0118D"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513CF912"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PRIMA DELL</w:t>
            </w:r>
            <w:r w:rsidR="00BC0A9B">
              <w:rPr>
                <w:rFonts w:ascii="Times New Roman" w:hAnsi="Times New Roman"/>
                <w:b/>
                <w:sz w:val="24"/>
                <w:u w:val="single"/>
              </w:rPr>
              <w:t>'</w:t>
            </w:r>
            <w:r>
              <w:rPr>
                <w:rFonts w:ascii="Times New Roman" w:hAnsi="Times New Roman"/>
                <w:b/>
                <w:sz w:val="24"/>
                <w:u w:val="single"/>
              </w:rPr>
              <w:t xml:space="preserve">APPLICAZIONE DEL MASSIMALE </w:t>
            </w:r>
          </w:p>
          <w:p w14:paraId="740CD739" w14:textId="524C1743" w:rsidR="00C55547" w:rsidRPr="004B0EC7" w:rsidRDefault="00C55547" w:rsidP="00BC0A9B">
            <w:pPr>
              <w:suppressAutoHyphens/>
              <w:rPr>
                <w:rFonts w:ascii="Times New Roman" w:hAnsi="Times New Roman"/>
                <w:bCs/>
                <w:sz w:val="24"/>
              </w:rPr>
            </w:pPr>
            <w:r>
              <w:rPr>
                <w:rFonts w:ascii="Times New Roman" w:hAnsi="Times New Roman"/>
                <w:sz w:val="24"/>
              </w:rPr>
              <w:t>Articolo 337 del regolamento (UE) n. 575/2013 senza tener conto della facoltà di cui all</w:t>
            </w:r>
            <w:r w:rsidR="00BC0A9B">
              <w:rPr>
                <w:rFonts w:ascii="Times New Roman" w:hAnsi="Times New Roman"/>
                <w:sz w:val="24"/>
              </w:rPr>
              <w:t>'</w:t>
            </w:r>
            <w:r>
              <w:rPr>
                <w:rFonts w:ascii="Times New Roman" w:hAnsi="Times New Roman"/>
                <w:sz w:val="24"/>
              </w:rPr>
              <w:t>articolo 335 di tale regolamento, che permette a un ente di fissare, per il prodotto della ponderazione e della posizione netta, un massimale pari alla perdita massima possibile relativa al rischio di default.</w:t>
            </w:r>
          </w:p>
        </w:tc>
      </w:tr>
      <w:tr w:rsidR="00C55547" w:rsidRPr="004B0EC7" w14:paraId="247B0FB8" w14:textId="77777777" w:rsidTr="000911FE">
        <w:tc>
          <w:tcPr>
            <w:tcW w:w="1413" w:type="dxa"/>
          </w:tcPr>
          <w:p w14:paraId="22357CAC" w14:textId="77777777" w:rsidR="00C55547" w:rsidRPr="004B0EC7" w:rsidRDefault="00EE2CD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2109C65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DOPO L</w:t>
            </w:r>
            <w:r w:rsidR="00BC0A9B">
              <w:rPr>
                <w:rFonts w:ascii="Times New Roman" w:hAnsi="Times New Roman"/>
                <w:b/>
                <w:sz w:val="24"/>
                <w:u w:val="single"/>
              </w:rPr>
              <w:t>'</w:t>
            </w:r>
            <w:r>
              <w:rPr>
                <w:rFonts w:ascii="Times New Roman" w:hAnsi="Times New Roman"/>
                <w:b/>
                <w:sz w:val="24"/>
                <w:u w:val="single"/>
              </w:rPr>
              <w:t>APPLICAZIONE DEL MASSIMALE/REQUISITI DI FONDI PROPRI TOTALI PRIMA DELL</w:t>
            </w:r>
            <w:r w:rsidR="00BC0A9B">
              <w:rPr>
                <w:rFonts w:ascii="Times New Roman" w:hAnsi="Times New Roman"/>
                <w:b/>
                <w:sz w:val="24"/>
                <w:u w:val="single"/>
              </w:rPr>
              <w:t>'</w:t>
            </w:r>
            <w:r>
              <w:rPr>
                <w:rFonts w:ascii="Times New Roman" w:hAnsi="Times New Roman"/>
                <w:b/>
                <w:sz w:val="24"/>
                <w:u w:val="single"/>
              </w:rPr>
              <w:t>APPLICAZIONE DEI FATTORI DI GRADUAZIONE</w:t>
            </w:r>
          </w:p>
          <w:p w14:paraId="0DE4FAED" w14:textId="29C799FB" w:rsidR="00C55547" w:rsidRPr="004B0EC7" w:rsidRDefault="00C55547" w:rsidP="00BC0A9B">
            <w:pPr>
              <w:suppressAutoHyphens/>
              <w:rPr>
                <w:rFonts w:ascii="Times New Roman" w:hAnsi="Times New Roman"/>
                <w:bCs/>
                <w:sz w:val="24"/>
              </w:rPr>
            </w:pPr>
            <w:r>
              <w:rPr>
                <w:rFonts w:ascii="Times New Roman" w:hAnsi="Times New Roman"/>
                <w:sz w:val="24"/>
              </w:rPr>
              <w:t>Articolo 337 del regolamento (UE) n. 575/2013, tenendo conto della facoltà di cui all</w:t>
            </w:r>
            <w:r w:rsidR="00BC0A9B">
              <w:rPr>
                <w:rFonts w:ascii="Times New Roman" w:hAnsi="Times New Roman"/>
                <w:sz w:val="24"/>
              </w:rPr>
              <w:t>'</w:t>
            </w:r>
            <w:r>
              <w:rPr>
                <w:rFonts w:ascii="Times New Roman" w:hAnsi="Times New Roman"/>
                <w:sz w:val="24"/>
              </w:rPr>
              <w:t>articolo 335 di tale regolamento.</w:t>
            </w:r>
          </w:p>
        </w:tc>
      </w:tr>
    </w:tbl>
    <w:p w14:paraId="2016D379" w14:textId="77777777" w:rsidR="00C55547" w:rsidRPr="004B0EC7" w:rsidRDefault="00C55547" w:rsidP="00BC0A9B">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C55547" w:rsidRPr="004B0EC7" w14:paraId="32F42F75" w14:textId="77777777" w:rsidTr="000911FE">
        <w:tc>
          <w:tcPr>
            <w:tcW w:w="1413" w:type="dxa"/>
          </w:tcPr>
          <w:p w14:paraId="4D0640F7"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BC0A9B">
            <w:pPr>
              <w:suppressAutoHyphens/>
              <w:rPr>
                <w:rFonts w:ascii="Times New Roman" w:hAnsi="Times New Roman"/>
                <w:sz w:val="24"/>
              </w:rPr>
            </w:pPr>
            <w:r>
              <w:rPr>
                <w:rStyle w:val="InstructionsTabelleberschrift"/>
                <w:rFonts w:ascii="Times New Roman" w:hAnsi="Times New Roman"/>
                <w:sz w:val="24"/>
              </w:rPr>
              <w:t>ESPOSIZIONI TOTALI</w:t>
            </w:r>
          </w:p>
          <w:p w14:paraId="3DA30B45" w14:textId="47A2976A" w:rsidR="00C55547" w:rsidRPr="004B0EC7" w:rsidRDefault="00C55547" w:rsidP="00BC0A9B">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Importo complessivo delle cartolarizzazioni e </w:t>
            </w:r>
            <w:proofErr w:type="spellStart"/>
            <w:r>
              <w:rPr>
                <w:rStyle w:val="InstructionsTabelleText"/>
                <w:rFonts w:ascii="Times New Roman" w:hAnsi="Times New Roman"/>
                <w:sz w:val="24"/>
              </w:rPr>
              <w:t>ricartolarizzazioni</w:t>
            </w:r>
            <w:proofErr w:type="spellEnd"/>
            <w:r>
              <w:rPr>
                <w:rStyle w:val="InstructionsTabelleText"/>
                <w:rFonts w:ascii="Times New Roman" w:hAnsi="Times New Roman"/>
                <w:sz w:val="24"/>
              </w:rPr>
              <w:t xml:space="preserve"> in essere (detenute nel portafoglio di negoziazione) segnalate dall</w:t>
            </w:r>
            <w:r w:rsidR="00BC0A9B">
              <w:rPr>
                <w:rStyle w:val="InstructionsTabelleText"/>
                <w:rFonts w:ascii="Times New Roman" w:hAnsi="Times New Roman"/>
                <w:sz w:val="24"/>
              </w:rPr>
              <w:t>'</w:t>
            </w:r>
            <w:r>
              <w:rPr>
                <w:rStyle w:val="InstructionsTabelleText"/>
                <w:rFonts w:ascii="Times New Roman" w:hAnsi="Times New Roman"/>
                <w:sz w:val="24"/>
              </w:rPr>
              <w:t>ente nel o nei suoi ruoli di cedente, investitore o promotore.</w:t>
            </w:r>
          </w:p>
        </w:tc>
      </w:tr>
      <w:tr w:rsidR="00C55547" w:rsidRPr="004B0EC7" w14:paraId="21E51D59" w14:textId="77777777" w:rsidTr="000911FE">
        <w:tc>
          <w:tcPr>
            <w:tcW w:w="1413" w:type="dxa"/>
          </w:tcPr>
          <w:p w14:paraId="5CCD69BA"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0040, 0070 e 0100</w:t>
            </w:r>
          </w:p>
        </w:tc>
        <w:tc>
          <w:tcPr>
            <w:tcW w:w="7537" w:type="dxa"/>
          </w:tcPr>
          <w:p w14:paraId="4F5DF6AF"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POSIZIONI VERSO LA CARTOLARIZZAZIONE</w:t>
            </w:r>
          </w:p>
          <w:p w14:paraId="62CD89EA" w14:textId="7920B86D" w:rsidR="00C55547" w:rsidRPr="004B0EC7" w:rsidRDefault="00532026" w:rsidP="00BC0A9B">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Articolo 4, paragrafo 1, punto 62, del regolamento (UE) n. 575/2013</w:t>
            </w:r>
          </w:p>
          <w:p w14:paraId="0230B6E5" w14:textId="77777777" w:rsidR="00C55547" w:rsidRPr="004B0EC7" w:rsidRDefault="00C55547" w:rsidP="00BC0A9B">
            <w:pPr>
              <w:suppressAutoHyphens/>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e 0110</w:t>
            </w:r>
          </w:p>
        </w:tc>
        <w:tc>
          <w:tcPr>
            <w:tcW w:w="7537" w:type="dxa"/>
          </w:tcPr>
          <w:p w14:paraId="3C62BCE7"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POSIZIONI VERSO LA RICARTOLARIZZAZIONE</w:t>
            </w:r>
          </w:p>
          <w:p w14:paraId="32F5BAEB" w14:textId="2FA2B3C6" w:rsidR="00C55547" w:rsidRPr="004B0EC7" w:rsidRDefault="00D24331" w:rsidP="00BC0A9B">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Articolo 4, paragrafo 1, punto 64, del regolamento (UE) n. 575/2013</w:t>
            </w:r>
          </w:p>
          <w:p w14:paraId="18108A69" w14:textId="77777777" w:rsidR="00C55547" w:rsidRPr="004B0EC7" w:rsidRDefault="00C55547" w:rsidP="00BC0A9B">
            <w:pPr>
              <w:suppressAutoHyphens/>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0041, 0071 e 0101</w:t>
            </w:r>
          </w:p>
        </w:tc>
        <w:tc>
          <w:tcPr>
            <w:tcW w:w="7537" w:type="dxa"/>
          </w:tcPr>
          <w:p w14:paraId="17D8E88B"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DI CUI: AMMISSIBILI AL TRATTAMENTO DIFFERENZIATO AI FINI PATRIMONIALI</w:t>
            </w:r>
          </w:p>
          <w:p w14:paraId="775DD0A5" w14:textId="2CA0FFF5" w:rsidR="00C55547" w:rsidRPr="004B0EC7" w:rsidRDefault="00C55547" w:rsidP="00BC0A9B">
            <w:pPr>
              <w:suppressAutoHyphens/>
              <w:rPr>
                <w:rStyle w:val="InstructionsTabelleberschrift"/>
                <w:rFonts w:ascii="Times New Roman" w:hAnsi="Times New Roman"/>
                <w:sz w:val="24"/>
              </w:rPr>
            </w:pPr>
            <w:r>
              <w:rPr>
                <w:rFonts w:ascii="Times New Roman" w:hAnsi="Times New Roman"/>
                <w:sz w:val="24"/>
              </w:rPr>
              <w:lastRenderedPageBreak/>
              <w:t>Importo totale delle posizioni verso la cartolarizzazione che soddisfano i criteri di cui all</w:t>
            </w:r>
            <w:r w:rsidR="00BC0A9B">
              <w:rPr>
                <w:rFonts w:ascii="Times New Roman" w:hAnsi="Times New Roman"/>
                <w:sz w:val="24"/>
              </w:rPr>
              <w:t>'</w:t>
            </w:r>
            <w:r>
              <w:rPr>
                <w:rFonts w:ascii="Times New Roman" w:hAnsi="Times New Roman"/>
                <w:sz w:val="24"/>
              </w:rPr>
              <w:t>articolo 243 o 270 del regolamento (UE) n. 575/2013 e possono pertanto essere soggette al trattamento differenziato ai fini patrimoniali.</w:t>
            </w:r>
          </w:p>
        </w:tc>
      </w:tr>
      <w:tr w:rsidR="00C55547" w:rsidRPr="004B0EC7" w14:paraId="5FAF4052" w14:textId="77777777" w:rsidTr="000911FE">
        <w:tc>
          <w:tcPr>
            <w:tcW w:w="1413" w:type="dxa"/>
          </w:tcPr>
          <w:p w14:paraId="39486578"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0030-0050</w:t>
            </w:r>
          </w:p>
        </w:tc>
        <w:tc>
          <w:tcPr>
            <w:tcW w:w="7537" w:type="dxa"/>
          </w:tcPr>
          <w:p w14:paraId="29698529"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CEDENTE</w:t>
            </w:r>
          </w:p>
          <w:p w14:paraId="50264432" w14:textId="0FD773BF" w:rsidR="00C55547" w:rsidRPr="004B0EC7" w:rsidRDefault="00D24331" w:rsidP="00BC0A9B">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Articolo 4, paragrafo 1, punto 13, del regolamento (UE) n. 575/2013</w:t>
            </w:r>
          </w:p>
          <w:p w14:paraId="671304E2" w14:textId="77777777" w:rsidR="00C55547" w:rsidRPr="004B0EC7" w:rsidRDefault="00C55547" w:rsidP="00BC0A9B">
            <w:pPr>
              <w:suppressAutoHyphens/>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INVESTITORE</w:t>
            </w:r>
          </w:p>
          <w:p w14:paraId="13A59676" w14:textId="7E849F49" w:rsidR="00C55547" w:rsidRPr="004B0EC7" w:rsidRDefault="00C55547" w:rsidP="00BC0A9B">
            <w:pPr>
              <w:suppressAutoHyphens/>
              <w:autoSpaceDE w:val="0"/>
              <w:autoSpaceDN w:val="0"/>
              <w:adjustRightInd w:val="0"/>
              <w:spacing w:before="0" w:after="0"/>
              <w:rPr>
                <w:rFonts w:ascii="Times New Roman" w:hAnsi="Times New Roman"/>
                <w:bCs/>
                <w:sz w:val="24"/>
              </w:rPr>
            </w:pPr>
            <w:r>
              <w:rPr>
                <w:rFonts w:ascii="Times New Roman" w:hAnsi="Times New Roman"/>
                <w:sz w:val="24"/>
              </w:rPr>
              <w:t>Ente creditizio che detiene posizioni verso la cartolarizzazione in un</w:t>
            </w:r>
            <w:r w:rsidR="00BC0A9B">
              <w:rPr>
                <w:rFonts w:ascii="Times New Roman" w:hAnsi="Times New Roman"/>
                <w:sz w:val="24"/>
              </w:rPr>
              <w:t>'</w:t>
            </w:r>
            <w:r>
              <w:rPr>
                <w:rFonts w:ascii="Times New Roman" w:hAnsi="Times New Roman"/>
                <w:sz w:val="24"/>
              </w:rPr>
              <w:t>operazione di cartolarizzazione nella quale non è né il cedente né il promotore né il prestatore originario.</w:t>
            </w:r>
          </w:p>
          <w:p w14:paraId="5289F9D1" w14:textId="77777777" w:rsidR="00C55547" w:rsidRPr="004B0EC7" w:rsidRDefault="00C55547" w:rsidP="00BC0A9B">
            <w:pPr>
              <w:suppressAutoHyphens/>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PROMOTORE</w:t>
            </w:r>
          </w:p>
          <w:p w14:paraId="40C5E800" w14:textId="57801E6F" w:rsidR="000242CC" w:rsidRPr="004B0EC7" w:rsidRDefault="00D24331" w:rsidP="00BC0A9B">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Articolo 4, paragrafo 1, punto 14, del regolamento (UE) n. 575/2013.</w:t>
            </w:r>
            <w:r>
              <w:rPr>
                <w:rStyle w:val="InstructionsTabelleText"/>
                <w:rFonts w:ascii="Times New Roman" w:hAnsi="Times New Roman"/>
                <w:sz w:val="24"/>
              </w:rPr>
              <w:t xml:space="preserve"> </w:t>
            </w:r>
          </w:p>
          <w:p w14:paraId="036222AB" w14:textId="77777777" w:rsidR="00C55547" w:rsidRPr="004B0EC7" w:rsidRDefault="00532026" w:rsidP="00BC0A9B">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Se cartolarizza anche attività proprie, il promotore inserisce nelle righe dedicate al cedente le informazioni relative alle proprie attività cartolarizzate.</w:t>
            </w:r>
          </w:p>
        </w:tc>
      </w:tr>
    </w:tbl>
    <w:p w14:paraId="204C667B"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rsidRPr="00AC0A4B">
        <w:rPr>
          <w:u w:val="none"/>
        </w:rPr>
        <w:tab/>
      </w:r>
      <w:r>
        <w:rPr>
          <w:rFonts w:ascii="Times New Roman" w:hAnsi="Times New Roman"/>
          <w:sz w:val="24"/>
        </w:rPr>
        <w:t>C 20.01 – Rischio di mercato: Metodo standardizzato semplificato per il rischio specifico di posizioni assegnate al portafoglio di negoziazione di correlazione (MKR SSA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rsidRPr="002D6CC5">
        <w:rPr>
          <w:u w:val="none"/>
        </w:rPr>
        <w:tab/>
      </w:r>
      <w:r>
        <w:rPr>
          <w:rFonts w:ascii="Times New Roman" w:hAnsi="Times New Roman"/>
          <w:sz w:val="24"/>
        </w:rPr>
        <w:t>Osservazioni di carattere generale</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5F974231" w:rsidR="00C55547" w:rsidRPr="004B0EC7" w:rsidRDefault="00771068" w:rsidP="00BC0A9B">
      <w:pPr>
        <w:pStyle w:val="InstructionsText2"/>
        <w:numPr>
          <w:ilvl w:val="0"/>
          <w:numId w:val="0"/>
        </w:numPr>
        <w:suppressAutoHyphens/>
        <w:ind w:left="993"/>
      </w:pPr>
      <w:r>
        <w:fldChar w:fldCharType="begin"/>
      </w:r>
      <w:r>
        <w:instrText xml:space="preserve"> seq paragraphs </w:instrText>
      </w:r>
      <w:r>
        <w:fldChar w:fldCharType="separate"/>
      </w:r>
      <w:r>
        <w:t>165</w:t>
      </w:r>
      <w:r>
        <w:fldChar w:fldCharType="end"/>
      </w:r>
      <w:r>
        <w:t xml:space="preserve">. In questo modello vanno inserite informazioni riguardanti le posizioni del portafoglio di negoziazione di correlazione (compresi le cartolarizzazioni, i derivati su crediti di tipo </w:t>
      </w:r>
      <w:proofErr w:type="spellStart"/>
      <w:r>
        <w:t>nth</w:t>
      </w:r>
      <w:proofErr w:type="spellEnd"/>
      <w:r>
        <w:t>-to-default e le altre posizioni di questo portafoglio incluse ai sensi dell</w:t>
      </w:r>
      <w:r w:rsidR="00BC0A9B">
        <w:t>'</w:t>
      </w:r>
      <w:r>
        <w:t>articolo 338, paragrafo 3, del regolamento (UE) n. 575/2013) e i relativi requisiti di fondi propri in base al metodo standardizzato.</w:t>
      </w:r>
    </w:p>
    <w:p w14:paraId="7D9D9B10" w14:textId="59CEC515" w:rsidR="00C55547"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166</w:t>
      </w:r>
      <w:r>
        <w:fldChar w:fldCharType="end"/>
      </w:r>
      <w:r>
        <w:t>.</w:t>
      </w:r>
      <w:r>
        <w:tab/>
        <w:t xml:space="preserve"> Il modello MKR SSA CTP presenta il requisito di fondi propri soltanto per il rischio specifico di posizioni assegnate al portafoglio di negoziazione di correlazione conformemente all</w:t>
      </w:r>
      <w:r w:rsidR="00BC0A9B">
        <w:t>'</w:t>
      </w:r>
      <w:r>
        <w:t>articolo 335 del regolamento (UE) n. 575/2013 in combinato disposto con l</w:t>
      </w:r>
      <w:r w:rsidR="00BC0A9B">
        <w:t>'</w:t>
      </w:r>
      <w:r>
        <w:t>articolo 338, paragrafi 2 e 3, di tale regolamento. Se le posizioni del portafoglio di negoziazione di correlazione comprese nel portafoglio di negoziazione sono coperte da derivati su crediti, si applicano gli articoli 346 e 347 del regolamento (UE) n. 575/2013. C</w:t>
      </w:r>
      <w:r w:rsidR="00BC0A9B">
        <w:t>'</w:t>
      </w:r>
      <w:r>
        <w:t>è un solo modello per tutte le posizioni del portafoglio di negoziazione di correlazione comprese nel portafoglio di negoziazione, a prescindere dal metodo di cui si avvale l</w:t>
      </w:r>
      <w:r w:rsidR="00BC0A9B">
        <w:t>'</w:t>
      </w:r>
      <w:r>
        <w:t>ente per stabilire la ponderazione del rischio di ciascuna posizione conformemente alla parte tre, titolo II, capo 5, del regolamento (UE) n.</w:t>
      </w:r>
      <w:r w:rsidR="00BC0A9B">
        <w:t> </w:t>
      </w:r>
      <w:r>
        <w:t>575/2013. Per segnalare i requisiti di fondi propri per il rischio generico di queste posizioni si utilizza il modello MKR SSA TDI o il modello MKR IM.</w:t>
      </w:r>
    </w:p>
    <w:p w14:paraId="2252BE4F" w14:textId="7907756E" w:rsidR="00C55547"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167</w:t>
      </w:r>
      <w:r>
        <w:fldChar w:fldCharType="end"/>
      </w:r>
      <w:r>
        <w:t>.</w:t>
      </w:r>
      <w:r>
        <w:tab/>
        <w:t xml:space="preserve"> Il modello distingue le posizioni verso la cartolarizzazione, i derivati su crediti di tipo </w:t>
      </w:r>
      <w:proofErr w:type="spellStart"/>
      <w:r>
        <w:t>nth</w:t>
      </w:r>
      <w:proofErr w:type="spellEnd"/>
      <w:r>
        <w:t>-to-default e le altre posizioni del portafoglio di negoziazione di correlazione. Le posizioni verso la cartolarizzazione sono sempre segnalate nelle righe 0030, 0060 o 0090 (a seconda del ruolo svolto dall</w:t>
      </w:r>
      <w:r w:rsidR="00BC0A9B">
        <w:t>'</w:t>
      </w:r>
      <w:r>
        <w:t xml:space="preserve">ente nella cartolarizzazione). </w:t>
      </w:r>
      <w:r>
        <w:lastRenderedPageBreak/>
        <w:t xml:space="preserve">I derivati su crediti di tipo </w:t>
      </w:r>
      <w:proofErr w:type="spellStart"/>
      <w:r>
        <w:t>nth</w:t>
      </w:r>
      <w:proofErr w:type="spellEnd"/>
      <w:r>
        <w:t>-to-default sono sempre segnalati nella riga 0110. Le</w:t>
      </w:r>
      <w:r w:rsidR="00BC0A9B">
        <w:t> "</w:t>
      </w:r>
      <w:r>
        <w:t>altre posizioni del CTP</w:t>
      </w:r>
      <w:r w:rsidR="00BC0A9B">
        <w:t>"</w:t>
      </w:r>
      <w:r>
        <w:t xml:space="preserve"> non sono né posizioni verso la cartolarizzazione né derivati su crediti di tipo </w:t>
      </w:r>
      <w:proofErr w:type="spellStart"/>
      <w:r>
        <w:t>nth</w:t>
      </w:r>
      <w:proofErr w:type="spellEnd"/>
      <w:r>
        <w:t>-to-default (cfr. l</w:t>
      </w:r>
      <w:r w:rsidR="00BC0A9B">
        <w:t>'</w:t>
      </w:r>
      <w:r>
        <w:t xml:space="preserve">articolo 338, paragrafo 3, del regolamento (UE) n. 575/2013), però sono </w:t>
      </w:r>
      <w:r w:rsidR="00BC0A9B">
        <w:t>"</w:t>
      </w:r>
      <w:r>
        <w:t>collegate</w:t>
      </w:r>
      <w:r w:rsidR="00BC0A9B">
        <w:t>"</w:t>
      </w:r>
      <w:r>
        <w:t xml:space="preserve"> esplicitamente a una di queste due posizioni (a causa della finalità di copertura). </w:t>
      </w:r>
    </w:p>
    <w:p w14:paraId="5B5B9C2A" w14:textId="121C3724" w:rsidR="00C55547"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168</w:t>
      </w:r>
      <w:r>
        <w:fldChar w:fldCharType="end"/>
      </w:r>
      <w:r>
        <w:t>.</w:t>
      </w:r>
      <w:r>
        <w:tab/>
        <w:t xml:space="preserve"> In alternativa, le posizioni soggette a un fattore di ponderazione del rischio del 1 250 % possono essere dedotte dal capitale primario di classe 1 (cfr. l</w:t>
      </w:r>
      <w:r w:rsidR="00BC0A9B">
        <w:t>'</w:t>
      </w:r>
      <w:r>
        <w:t>articolo 244, paragrafo 1, lettera b), l</w:t>
      </w:r>
      <w:r w:rsidR="00BC0A9B">
        <w:t>'</w:t>
      </w:r>
      <w:r>
        <w:t>articolo 245, paragrafo 1, lettera b), e l</w:t>
      </w:r>
      <w:r w:rsidR="00BC0A9B">
        <w:t>'</w:t>
      </w:r>
      <w:r>
        <w:t>articolo 253 del regolamento (UE) n. 575/2013). In tal caso, queste posizioni devono essere segnalate nella riga 0460 del CA1.</w:t>
      </w:r>
    </w:p>
    <w:p w14:paraId="6482CB53" w14:textId="3E0BDD09"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81" w:name="_Toc151714494"/>
      <w:r>
        <w:rPr>
          <w:rFonts w:ascii="Times New Roman" w:hAnsi="Times New Roman"/>
          <w:sz w:val="24"/>
          <w:u w:val="none"/>
        </w:rPr>
        <w:t>5.3.2.</w:t>
      </w:r>
      <w:r w:rsidRPr="00AC0A4B">
        <w:rPr>
          <w:u w:val="none"/>
        </w:rPr>
        <w:tab/>
      </w:r>
      <w:r>
        <w:rPr>
          <w:rFonts w:ascii="Times New Roman" w:hAnsi="Times New Roman"/>
          <w:sz w:val="24"/>
        </w:rPr>
        <w:t>Istruzioni relative a posizioni specifiche</w:t>
      </w:r>
      <w:bookmarkEnd w:id="75"/>
      <w:bookmarkEnd w:id="76"/>
      <w:bookmarkEnd w:id="77"/>
      <w:bookmarkEnd w:id="78"/>
      <w:bookmarkEnd w:id="79"/>
      <w:bookmarkEnd w:id="80"/>
      <w:bookmarkEnd w:id="81"/>
    </w:p>
    <w:p w14:paraId="08BF27B7"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C55547" w:rsidRPr="004B0EC7" w14:paraId="697D3EB6" w14:textId="77777777" w:rsidTr="00E10B85">
        <w:tc>
          <w:tcPr>
            <w:tcW w:w="1016" w:type="dxa"/>
          </w:tcPr>
          <w:p w14:paraId="5A814BB2"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TUTTE LE POSIZIONI (LUNGHE E CORTE)</w:t>
            </w:r>
          </w:p>
          <w:p w14:paraId="4F3CF7CB" w14:textId="7800A5EE" w:rsidR="005C14B0" w:rsidRPr="004B0EC7" w:rsidRDefault="00C55547" w:rsidP="00BC0A9B">
            <w:pPr>
              <w:suppressAutoHyphens/>
              <w:rPr>
                <w:rFonts w:ascii="Times New Roman" w:hAnsi="Times New Roman"/>
                <w:sz w:val="24"/>
              </w:rPr>
            </w:pPr>
            <w:r>
              <w:rPr>
                <w:rFonts w:ascii="Times New Roman" w:hAnsi="Times New Roman"/>
                <w:sz w:val="24"/>
              </w:rPr>
              <w:t>Articolo 102 e articolo 105, paragrafo 1, del regolamento (UE) n. 575/2013 in combinato disposto con l</w:t>
            </w:r>
            <w:r w:rsidR="00BC0A9B">
              <w:rPr>
                <w:rFonts w:ascii="Times New Roman" w:hAnsi="Times New Roman"/>
                <w:sz w:val="24"/>
              </w:rPr>
              <w:t>'</w:t>
            </w:r>
            <w:r>
              <w:rPr>
                <w:rFonts w:ascii="Times New Roman" w:hAnsi="Times New Roman"/>
                <w:sz w:val="24"/>
              </w:rPr>
              <w:t>articolo 338, paragrafi 2 e 3, di tale regolamento (posizioni assegnate al portafoglio di negoziazione di correlazione).</w:t>
            </w:r>
          </w:p>
          <w:p w14:paraId="70FB0860" w14:textId="27E30C37" w:rsidR="00C55547" w:rsidRPr="004B0EC7" w:rsidRDefault="00C55547" w:rsidP="00BC0A9B">
            <w:pPr>
              <w:suppressAutoHyphens/>
              <w:rPr>
                <w:rFonts w:ascii="Times New Roman" w:hAnsi="Times New Roman"/>
                <w:sz w:val="24"/>
              </w:rPr>
            </w:pPr>
            <w:r>
              <w:rPr>
                <w:rFonts w:ascii="Times New Roman" w:hAnsi="Times New Roman"/>
                <w:sz w:val="24"/>
              </w:rPr>
              <w:t>Per la distinzione tra posizioni lunghe e posizioni corte, applicabile anche a queste posizioni lorde, cfr. l</w:t>
            </w:r>
            <w:r w:rsidR="00BC0A9B">
              <w:rPr>
                <w:rFonts w:ascii="Times New Roman" w:hAnsi="Times New Roman"/>
                <w:sz w:val="24"/>
              </w:rPr>
              <w:t>'</w:t>
            </w:r>
            <w:r>
              <w:rPr>
                <w:rFonts w:ascii="Times New Roman" w:hAnsi="Times New Roman"/>
                <w:sz w:val="24"/>
              </w:rPr>
              <w:t>articolo 328, paragrafo 2, del regolamento (UE) n.</w:t>
            </w:r>
            <w:r w:rsidR="00BC0A9B">
              <w:rPr>
                <w:rFonts w:ascii="Times New Roman" w:hAnsi="Times New Roman"/>
                <w:sz w:val="24"/>
              </w:rPr>
              <w:t> </w:t>
            </w:r>
            <w:r>
              <w:rPr>
                <w:rFonts w:ascii="Times New Roman" w:hAnsi="Times New Roman"/>
                <w:sz w:val="24"/>
              </w:rPr>
              <w:t>575/2013.</w:t>
            </w:r>
          </w:p>
        </w:tc>
      </w:tr>
      <w:tr w:rsidR="00C55547" w:rsidRPr="004B0EC7" w14:paraId="3641769F" w14:textId="77777777" w:rsidTr="00E10B85">
        <w:tc>
          <w:tcPr>
            <w:tcW w:w="1016" w:type="dxa"/>
          </w:tcPr>
          <w:p w14:paraId="04DBC56E"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 POSIZIONI DEDOTTE DAI FONDI PROPRI (LUNGHE E CORTE)</w:t>
            </w:r>
          </w:p>
          <w:p w14:paraId="56207551" w14:textId="0069D39B" w:rsidR="00C55547" w:rsidRPr="004B0EC7" w:rsidRDefault="00C55547" w:rsidP="00BC0A9B">
            <w:pPr>
              <w:suppressAutoHyphens/>
              <w:rPr>
                <w:rFonts w:ascii="Times New Roman" w:hAnsi="Times New Roman"/>
                <w:sz w:val="24"/>
              </w:rPr>
            </w:pPr>
            <w:r>
              <w:rPr>
                <w:rFonts w:ascii="Times New Roman" w:hAnsi="Times New Roman"/>
                <w:sz w:val="24"/>
              </w:rPr>
              <w:t xml:space="preserve">Articolo 253 del regolamento (UE) n. 575/2013 </w:t>
            </w:r>
          </w:p>
        </w:tc>
      </w:tr>
      <w:tr w:rsidR="00C55547" w:rsidRPr="004B0EC7" w14:paraId="6E312180" w14:textId="77777777" w:rsidTr="00E10B85">
        <w:tc>
          <w:tcPr>
            <w:tcW w:w="1016" w:type="dxa"/>
          </w:tcPr>
          <w:p w14:paraId="08709592"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POSIZIONI NETTE (LUNGHE E CORTE)</w:t>
            </w:r>
          </w:p>
          <w:p w14:paraId="01BDDE40" w14:textId="76E789A7" w:rsidR="005C14B0" w:rsidRPr="004B0EC7" w:rsidRDefault="00C55547" w:rsidP="00BC0A9B">
            <w:pPr>
              <w:suppressAutoHyphens/>
              <w:rPr>
                <w:rFonts w:ascii="Times New Roman" w:hAnsi="Times New Roman"/>
                <w:sz w:val="24"/>
              </w:rPr>
            </w:pPr>
            <w:r>
              <w:rPr>
                <w:rFonts w:ascii="Times New Roman" w:hAnsi="Times New Roman"/>
                <w:sz w:val="24"/>
              </w:rPr>
              <w:t xml:space="preserve">Articoli 327, 328, 329 e 334 del regolamento (UE) n. 575/2013 </w:t>
            </w:r>
          </w:p>
          <w:p w14:paraId="6C03F093" w14:textId="6D68FB05" w:rsidR="00C55547" w:rsidRPr="004B0EC7" w:rsidRDefault="00C55547" w:rsidP="00BC0A9B">
            <w:pPr>
              <w:suppressAutoHyphens/>
              <w:rPr>
                <w:rFonts w:ascii="Times New Roman" w:hAnsi="Times New Roman"/>
                <w:sz w:val="24"/>
              </w:rPr>
            </w:pPr>
            <w:r>
              <w:rPr>
                <w:rFonts w:ascii="Times New Roman" w:hAnsi="Times New Roman"/>
                <w:sz w:val="24"/>
              </w:rPr>
              <w:t>Per la distinzione tra posizioni lunghe e posizioni corte cfr. l</w:t>
            </w:r>
            <w:r w:rsidR="00BC0A9B">
              <w:rPr>
                <w:rFonts w:ascii="Times New Roman" w:hAnsi="Times New Roman"/>
                <w:sz w:val="24"/>
              </w:rPr>
              <w:t>'</w:t>
            </w:r>
            <w:r>
              <w:rPr>
                <w:rFonts w:ascii="Times New Roman" w:hAnsi="Times New Roman"/>
                <w:sz w:val="24"/>
              </w:rPr>
              <w:t>articolo 328, paragrafo 2, del regolamento (UE) n. 575/2013.</w:t>
            </w:r>
          </w:p>
        </w:tc>
      </w:tr>
      <w:tr w:rsidR="00C55547" w:rsidRPr="004B0EC7" w14:paraId="6F83AB99" w14:textId="77777777" w:rsidTr="00E10B85">
        <w:tc>
          <w:tcPr>
            <w:tcW w:w="1016" w:type="dxa"/>
          </w:tcPr>
          <w:p w14:paraId="6DDF2435"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RIPARTIZIONE DELLE POSIZIONI NETTE IN BASE AI FATTORI DI PONDERAZIONE DEL RISCHIO</w:t>
            </w:r>
          </w:p>
          <w:p w14:paraId="691F4414" w14:textId="0B2BF6F5" w:rsidR="00C55547" w:rsidRPr="004B0EC7" w:rsidRDefault="00133396" w:rsidP="00BC0A9B">
            <w:pPr>
              <w:suppressAutoHyphens/>
              <w:rPr>
                <w:rFonts w:ascii="Times New Roman" w:hAnsi="Times New Roman"/>
                <w:sz w:val="24"/>
              </w:rPr>
            </w:pPr>
            <w:r>
              <w:rPr>
                <w:rFonts w:ascii="Times New Roman" w:hAnsi="Times New Roman"/>
                <w:sz w:val="24"/>
              </w:rPr>
              <w:t>Articoli da 259 a 262, tabelle 1 e 2 dell</w:t>
            </w:r>
            <w:r w:rsidR="00BC0A9B">
              <w:rPr>
                <w:rFonts w:ascii="Times New Roman" w:hAnsi="Times New Roman"/>
                <w:sz w:val="24"/>
              </w:rPr>
              <w:t>'</w:t>
            </w:r>
            <w:r>
              <w:rPr>
                <w:rFonts w:ascii="Times New Roman" w:hAnsi="Times New Roman"/>
                <w:sz w:val="24"/>
              </w:rPr>
              <w:t>articolo 263, tabelle 3 e 4</w:t>
            </w:r>
            <w:r w:rsidR="00BC0A9B">
              <w:rPr>
                <w:rFonts w:ascii="Times New Roman" w:hAnsi="Times New Roman"/>
                <w:sz w:val="24"/>
              </w:rPr>
              <w:t xml:space="preserve"> </w:t>
            </w:r>
            <w:r>
              <w:rPr>
                <w:rFonts w:ascii="Times New Roman" w:hAnsi="Times New Roman"/>
                <w:sz w:val="24"/>
              </w:rPr>
              <w:t>dell</w:t>
            </w:r>
            <w:r w:rsidR="00BC0A9B">
              <w:rPr>
                <w:rFonts w:ascii="Times New Roman" w:hAnsi="Times New Roman"/>
                <w:sz w:val="24"/>
              </w:rPr>
              <w:t>'</w:t>
            </w:r>
            <w:r>
              <w:rPr>
                <w:rFonts w:ascii="Times New Roman" w:hAnsi="Times New Roman"/>
                <w:sz w:val="24"/>
              </w:rPr>
              <w:t>articolo</w:t>
            </w:r>
            <w:r w:rsidR="002D6CC5">
              <w:rPr>
                <w:rFonts w:ascii="Times New Roman" w:hAnsi="Times New Roman"/>
                <w:sz w:val="24"/>
              </w:rPr>
              <w:t> </w:t>
            </w:r>
            <w:r>
              <w:rPr>
                <w:rFonts w:ascii="Times New Roman" w:hAnsi="Times New Roman"/>
                <w:sz w:val="24"/>
              </w:rPr>
              <w:t>264 e articolo 266 del regolamento (UE) n. 575/2013.</w:t>
            </w:r>
          </w:p>
        </w:tc>
      </w:tr>
      <w:tr w:rsidR="00C55547" w:rsidRPr="004B0EC7" w14:paraId="495D2FD0" w14:textId="77777777" w:rsidTr="00E10B85">
        <w:tc>
          <w:tcPr>
            <w:tcW w:w="1016" w:type="dxa"/>
          </w:tcPr>
          <w:p w14:paraId="295B01D9" w14:textId="77777777" w:rsidR="00C55547" w:rsidRPr="004B0EC7" w:rsidRDefault="002F79EA" w:rsidP="00BC0A9B">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NETTE IN BASE AI METODI</w:t>
            </w:r>
          </w:p>
          <w:p w14:paraId="19937787" w14:textId="465ADE79" w:rsidR="00C55547" w:rsidRPr="004B0EC7" w:rsidRDefault="00C55547" w:rsidP="00BC0A9B">
            <w:pPr>
              <w:suppressAutoHyphens/>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Articolo 254 del regolamento (UE) n. 575/2013</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BC0A9B">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BC0A9B">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Articoli 259 e 260</w:t>
            </w:r>
            <w:r>
              <w:rPr>
                <w:rFonts w:ascii="Times New Roman" w:hAnsi="Times New Roman"/>
                <w:sz w:val="24"/>
              </w:rPr>
              <w:t xml:space="preserve"> del regolamento (UE) n. 575/2013</w:t>
            </w:r>
          </w:p>
        </w:tc>
      </w:tr>
      <w:tr w:rsidR="00C55547" w:rsidRPr="004B0EC7" w14:paraId="35656008" w14:textId="77777777" w:rsidTr="00E10B85">
        <w:tc>
          <w:tcPr>
            <w:tcW w:w="1016" w:type="dxa"/>
          </w:tcPr>
          <w:p w14:paraId="720D0546" w14:textId="77777777" w:rsidR="00C55547" w:rsidRPr="004B0EC7" w:rsidRDefault="002F79EA" w:rsidP="00BC0A9B">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BC0A9B">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Articoli 261 e 262</w:t>
            </w:r>
            <w:r>
              <w:rPr>
                <w:rFonts w:ascii="Times New Roman" w:hAnsi="Times New Roman"/>
                <w:sz w:val="24"/>
              </w:rPr>
              <w:t xml:space="preserve"> del regolamento (UE) n. 575/2013</w:t>
            </w:r>
          </w:p>
        </w:tc>
      </w:tr>
      <w:tr w:rsidR="00C55547" w:rsidRPr="004B0EC7" w14:paraId="7B54B7CF" w14:textId="77777777" w:rsidTr="00E10B85">
        <w:tc>
          <w:tcPr>
            <w:tcW w:w="1016" w:type="dxa"/>
          </w:tcPr>
          <w:p w14:paraId="0D21F451" w14:textId="77777777" w:rsidR="00C55547" w:rsidRPr="004B0EC7" w:rsidRDefault="002F79EA" w:rsidP="00BC0A9B">
            <w:pPr>
              <w:suppressAutoHyphens/>
              <w:rPr>
                <w:rFonts w:ascii="Times New Roman" w:hAnsi="Times New Roman"/>
                <w:sz w:val="24"/>
              </w:rPr>
            </w:pPr>
            <w:r>
              <w:rPr>
                <w:rFonts w:ascii="Times New Roman" w:hAnsi="Times New Roman"/>
                <w:sz w:val="24"/>
              </w:rPr>
              <w:lastRenderedPageBreak/>
              <w:t>0404</w:t>
            </w:r>
          </w:p>
        </w:tc>
        <w:tc>
          <w:tcPr>
            <w:tcW w:w="7874" w:type="dxa"/>
          </w:tcPr>
          <w:p w14:paraId="6AA67FFF" w14:textId="77777777" w:rsidR="00C55547" w:rsidRPr="004B0EC7" w:rsidRDefault="00C55547"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2D6CC5">
            <w:pPr>
              <w:suppressAutoHyphens/>
              <w:autoSpaceDE w:val="0"/>
              <w:autoSpaceDN w:val="0"/>
              <w:adjustRightInd w:val="0"/>
              <w:spacing w:after="200"/>
              <w:jc w:val="left"/>
              <w:rPr>
                <w:rStyle w:val="InstructionsTabelleberschrift"/>
                <w:rFonts w:ascii="Times New Roman" w:hAnsi="Times New Roman"/>
                <w:sz w:val="24"/>
              </w:rPr>
            </w:pPr>
            <w:r>
              <w:rPr>
                <w:rStyle w:val="InstructionsTabelleText"/>
                <w:rFonts w:ascii="Times New Roman" w:hAnsi="Times New Roman"/>
                <w:sz w:val="24"/>
              </w:rPr>
              <w:t>Articoli 263 e 264</w:t>
            </w:r>
            <w:r>
              <w:rPr>
                <w:rFonts w:ascii="Times New Roman" w:hAnsi="Times New Roman"/>
                <w:sz w:val="24"/>
              </w:rPr>
              <w:t xml:space="preserve"> del regolamento (UE) n. 575/2013</w:t>
            </w:r>
          </w:p>
        </w:tc>
      </w:tr>
      <w:tr w:rsidR="00C55547" w:rsidRPr="004B0EC7" w14:paraId="7979A32D" w14:textId="77777777" w:rsidTr="00E10B85">
        <w:tc>
          <w:tcPr>
            <w:tcW w:w="1016" w:type="dxa"/>
          </w:tcPr>
          <w:p w14:paraId="7C1C67E6" w14:textId="77777777" w:rsidR="00C55547" w:rsidRPr="004B0EC7" w:rsidRDefault="002F79EA" w:rsidP="00BC0A9B">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METODO DELLA VALUTAZIONE INTERNA</w:t>
            </w:r>
          </w:p>
          <w:p w14:paraId="46E92693" w14:textId="78E87E8C" w:rsidR="00C55547" w:rsidRPr="004B0EC7" w:rsidRDefault="00C55547" w:rsidP="002D6CC5">
            <w:pPr>
              <w:suppressAutoHyphens/>
              <w:autoSpaceDE w:val="0"/>
              <w:autoSpaceDN w:val="0"/>
              <w:adjustRightInd w:val="0"/>
              <w:spacing w:after="200"/>
              <w:jc w:val="left"/>
              <w:rPr>
                <w:rStyle w:val="InstructionsTabelleberschrift"/>
                <w:rFonts w:ascii="Times New Roman" w:hAnsi="Times New Roman"/>
                <w:sz w:val="24"/>
              </w:rPr>
            </w:pPr>
            <w:r>
              <w:rPr>
                <w:rFonts w:ascii="Times New Roman" w:hAnsi="Times New Roman"/>
                <w:sz w:val="24"/>
              </w:rPr>
              <w:t>Articoli 254 e 265 e articolo 266, paragrafo 5, del regolamento (UE) n. 575/2013.</w:t>
            </w:r>
          </w:p>
        </w:tc>
      </w:tr>
      <w:tr w:rsidR="00A97C62" w:rsidRPr="004B0EC7" w14:paraId="412C0D2A" w14:textId="77777777" w:rsidTr="00E10B85">
        <w:tc>
          <w:tcPr>
            <w:tcW w:w="1016" w:type="dxa"/>
          </w:tcPr>
          <w:p w14:paraId="184EAC6C" w14:textId="26696219" w:rsidR="00A97C62" w:rsidRPr="004B0EC7" w:rsidRDefault="00A97C62" w:rsidP="00BC0A9B">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2D6CC5">
            <w:pPr>
              <w:suppressAutoHyphens/>
              <w:spacing w:before="40" w:after="0"/>
              <w:jc w:val="left"/>
              <w:rPr>
                <w:rFonts w:ascii="Times New Roman" w:hAnsi="Times New Roman"/>
                <w:b/>
                <w:sz w:val="24"/>
                <w:u w:val="single"/>
              </w:rPr>
            </w:pPr>
            <w:r>
              <w:rPr>
                <w:rFonts w:ascii="Times New Roman" w:hAnsi="Times New Roman"/>
                <w:b/>
                <w:sz w:val="24"/>
                <w:u w:val="single"/>
              </w:rPr>
              <w:t>TRATTAMENTO SPECIFICO PER I SEGMENTI SENIOR DELLE CARTOLARIZZAZIONI AMMISSIBILI DI ESPOSIZIONI DETERIORATE</w:t>
            </w:r>
          </w:p>
          <w:p w14:paraId="1D397AE3" w14:textId="76C348BD" w:rsidR="00A97C62" w:rsidRPr="004B0EC7" w:rsidRDefault="00A97C62" w:rsidP="002D6CC5">
            <w:pPr>
              <w:suppressAutoHyphens/>
              <w:autoSpaceDE w:val="0"/>
              <w:autoSpaceDN w:val="0"/>
              <w:adjustRightInd w:val="0"/>
              <w:spacing w:after="200"/>
              <w:jc w:val="left"/>
              <w:rPr>
                <w:rFonts w:ascii="Times New Roman" w:hAnsi="Times New Roman"/>
                <w:b/>
                <w:bCs/>
                <w:sz w:val="24"/>
                <w:u w:val="single"/>
              </w:rPr>
            </w:pPr>
            <w:r>
              <w:rPr>
                <w:rFonts w:ascii="Times New Roman" w:hAnsi="Times New Roman"/>
                <w:sz w:val="24"/>
              </w:rPr>
              <w:t>Articolo 269 bis, paragrafo 3, del regolamento (UE) n. 575/2013</w:t>
            </w:r>
          </w:p>
        </w:tc>
      </w:tr>
      <w:tr w:rsidR="00C55547" w:rsidRPr="004B0EC7" w14:paraId="5C0D49CC" w14:textId="77777777" w:rsidTr="00E10B85">
        <w:tc>
          <w:tcPr>
            <w:tcW w:w="1016" w:type="dxa"/>
          </w:tcPr>
          <w:p w14:paraId="4A75E404" w14:textId="77777777" w:rsidR="00C55547" w:rsidRPr="004B0EC7" w:rsidRDefault="002F79EA" w:rsidP="00BC0A9B">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ALTRO (RW = 1 250 %)</w:t>
            </w:r>
          </w:p>
          <w:p w14:paraId="0B94870A" w14:textId="0A4BBAC5" w:rsidR="00C55547" w:rsidRPr="004B0EC7" w:rsidRDefault="00C55547" w:rsidP="002D6CC5">
            <w:pPr>
              <w:suppressAutoHyphens/>
              <w:autoSpaceDE w:val="0"/>
              <w:autoSpaceDN w:val="0"/>
              <w:adjustRightInd w:val="0"/>
              <w:spacing w:after="200"/>
              <w:jc w:val="left"/>
              <w:rPr>
                <w:rStyle w:val="InstructionsTabelleberschrift"/>
                <w:rFonts w:ascii="Times New Roman" w:hAnsi="Times New Roman"/>
                <w:sz w:val="24"/>
              </w:rPr>
            </w:pPr>
            <w:r>
              <w:rPr>
                <w:rFonts w:ascii="Times New Roman" w:hAnsi="Times New Roman"/>
                <w:sz w:val="24"/>
              </w:rPr>
              <w:t>Articolo 254, paragrafo 7, del regolamento (UE) n. 575/2013</w:t>
            </w:r>
          </w:p>
        </w:tc>
      </w:tr>
      <w:tr w:rsidR="00C55547" w:rsidRPr="004B0EC7" w14:paraId="16A48520" w14:textId="77777777" w:rsidTr="00E10B85">
        <w:tc>
          <w:tcPr>
            <w:tcW w:w="1016" w:type="dxa"/>
          </w:tcPr>
          <w:p w14:paraId="04D4F5AC" w14:textId="77777777" w:rsidR="00C55547" w:rsidRPr="004B0EC7" w:rsidRDefault="002F79EA" w:rsidP="00BC0A9B">
            <w:pPr>
              <w:suppressAutoHyphens/>
              <w:rPr>
                <w:rFonts w:ascii="Times New Roman" w:hAnsi="Times New Roman"/>
                <w:sz w:val="24"/>
              </w:rPr>
            </w:pPr>
            <w:r>
              <w:rPr>
                <w:rFonts w:ascii="Times New Roman" w:hAnsi="Times New Roman"/>
                <w:sz w:val="24"/>
              </w:rPr>
              <w:t>0410-0420</w:t>
            </w:r>
          </w:p>
        </w:tc>
        <w:tc>
          <w:tcPr>
            <w:tcW w:w="7874" w:type="dxa"/>
          </w:tcPr>
          <w:p w14:paraId="78E183CC" w14:textId="55101A1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PRIMA DELL</w:t>
            </w:r>
            <w:r w:rsidR="00BC0A9B">
              <w:rPr>
                <w:rStyle w:val="InstructionsTabelleberschrift"/>
                <w:rFonts w:ascii="Times New Roman" w:hAnsi="Times New Roman"/>
                <w:sz w:val="24"/>
              </w:rPr>
              <w:t>'</w:t>
            </w:r>
            <w:r>
              <w:rPr>
                <w:rStyle w:val="InstructionsTabelleberschrift"/>
                <w:rFonts w:ascii="Times New Roman" w:hAnsi="Times New Roman"/>
                <w:sz w:val="24"/>
              </w:rPr>
              <w:t>APPLICAZIONE DEL MASSIMALE - POSIZIONI NETTE LUNGHE/CORTE PONDERATE</w:t>
            </w:r>
          </w:p>
          <w:p w14:paraId="7E8A31C6" w14:textId="315DE85F" w:rsidR="00C55547" w:rsidRPr="004B0EC7" w:rsidRDefault="00C55547" w:rsidP="002D6CC5">
            <w:pPr>
              <w:suppressAutoHyphens/>
              <w:spacing w:after="200"/>
              <w:rPr>
                <w:rFonts w:ascii="Times New Roman" w:hAnsi="Times New Roman"/>
                <w:sz w:val="24"/>
              </w:rPr>
            </w:pPr>
            <w:r>
              <w:rPr>
                <w:rFonts w:ascii="Times New Roman" w:hAnsi="Times New Roman"/>
                <w:sz w:val="24"/>
              </w:rPr>
              <w:t>Articolo 338 del regolamento (UE) n. 575/2013, senza tenere conto della facoltà di cui all</w:t>
            </w:r>
            <w:r w:rsidR="00BC0A9B">
              <w:rPr>
                <w:rFonts w:ascii="Times New Roman" w:hAnsi="Times New Roman"/>
                <w:sz w:val="24"/>
              </w:rPr>
              <w:t>'</w:t>
            </w:r>
            <w:r>
              <w:rPr>
                <w:rFonts w:ascii="Times New Roman" w:hAnsi="Times New Roman"/>
                <w:sz w:val="24"/>
              </w:rPr>
              <w:t>articolo 335 di tale regolamento.</w:t>
            </w:r>
          </w:p>
        </w:tc>
      </w:tr>
      <w:tr w:rsidR="00C55547" w:rsidRPr="004B0EC7" w14:paraId="566ACCB3" w14:textId="77777777" w:rsidTr="00E10B85">
        <w:tc>
          <w:tcPr>
            <w:tcW w:w="1016" w:type="dxa"/>
          </w:tcPr>
          <w:p w14:paraId="4093CA68" w14:textId="77777777" w:rsidR="00C55547" w:rsidRPr="004B0EC7" w:rsidRDefault="002F79EA" w:rsidP="00BC0A9B">
            <w:pPr>
              <w:suppressAutoHyphens/>
              <w:rPr>
                <w:rFonts w:ascii="Times New Roman" w:hAnsi="Times New Roman"/>
                <w:sz w:val="24"/>
              </w:rPr>
            </w:pPr>
            <w:r>
              <w:rPr>
                <w:rFonts w:ascii="Times New Roman" w:hAnsi="Times New Roman"/>
                <w:sz w:val="24"/>
              </w:rPr>
              <w:t>0430-0440</w:t>
            </w:r>
          </w:p>
        </w:tc>
        <w:tc>
          <w:tcPr>
            <w:tcW w:w="7874" w:type="dxa"/>
          </w:tcPr>
          <w:p w14:paraId="00C8D0F3" w14:textId="4D9D3012"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DOPO L</w:t>
            </w:r>
            <w:r w:rsidR="00BC0A9B">
              <w:rPr>
                <w:rStyle w:val="InstructionsTabelleberschrift"/>
                <w:rFonts w:ascii="Times New Roman" w:hAnsi="Times New Roman"/>
                <w:sz w:val="24"/>
              </w:rPr>
              <w:t>'</w:t>
            </w:r>
            <w:r>
              <w:rPr>
                <w:rStyle w:val="InstructionsTabelleberschrift"/>
                <w:rFonts w:ascii="Times New Roman" w:hAnsi="Times New Roman"/>
                <w:sz w:val="24"/>
              </w:rPr>
              <w:t>APPLICAZIONE DEL MASSIMALE - POSIZIONI NETTE LUNGHE/CORTE PONDERATE</w:t>
            </w:r>
          </w:p>
          <w:p w14:paraId="3304B399" w14:textId="6246B5AD" w:rsidR="00C55547" w:rsidRPr="004B0EC7" w:rsidRDefault="00C55547" w:rsidP="002D6CC5">
            <w:pPr>
              <w:suppressAutoHyphens/>
              <w:spacing w:after="200"/>
              <w:rPr>
                <w:rFonts w:ascii="Times New Roman" w:hAnsi="Times New Roman"/>
                <w:sz w:val="24"/>
              </w:rPr>
            </w:pPr>
            <w:r>
              <w:rPr>
                <w:rFonts w:ascii="Times New Roman" w:hAnsi="Times New Roman"/>
                <w:sz w:val="24"/>
              </w:rPr>
              <w:t>Articolo 338 del regolamento (UE) n. 575/2013, tenendo conto della facoltà di cui all</w:t>
            </w:r>
            <w:r w:rsidR="00BC0A9B">
              <w:rPr>
                <w:rFonts w:ascii="Times New Roman" w:hAnsi="Times New Roman"/>
                <w:sz w:val="24"/>
              </w:rPr>
              <w:t>'</w:t>
            </w:r>
            <w:r>
              <w:rPr>
                <w:rFonts w:ascii="Times New Roman" w:hAnsi="Times New Roman"/>
                <w:sz w:val="24"/>
              </w:rPr>
              <w:t>articolo 335 di tale regolamento.</w:t>
            </w:r>
          </w:p>
        </w:tc>
      </w:tr>
      <w:tr w:rsidR="00C55547" w:rsidRPr="004B0EC7" w14:paraId="23063B74" w14:textId="77777777" w:rsidTr="00E10B85">
        <w:tc>
          <w:tcPr>
            <w:tcW w:w="1016" w:type="dxa"/>
          </w:tcPr>
          <w:p w14:paraId="5A3BC562" w14:textId="77777777" w:rsidR="00C55547" w:rsidRPr="004B0EC7" w:rsidRDefault="002F79EA" w:rsidP="00BC0A9B">
            <w:pPr>
              <w:suppressAutoHyphens/>
              <w:rPr>
                <w:rFonts w:ascii="Times New Roman" w:hAnsi="Times New Roman"/>
                <w:sz w:val="24"/>
              </w:rPr>
            </w:pPr>
            <w:r>
              <w:rPr>
                <w:rFonts w:ascii="Times New Roman" w:hAnsi="Times New Roman"/>
                <w:sz w:val="24"/>
              </w:rPr>
              <w:t>0450</w:t>
            </w:r>
          </w:p>
        </w:tc>
        <w:tc>
          <w:tcPr>
            <w:tcW w:w="7874" w:type="dxa"/>
          </w:tcPr>
          <w:p w14:paraId="4210145F" w14:textId="08325BA8"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REQUISITI DI FONDI PROPRI TOTALI PRIMA DELL</w:t>
            </w:r>
            <w:r w:rsidR="00BC0A9B">
              <w:rPr>
                <w:rStyle w:val="InstructionsTabelleberschrift"/>
                <w:rFonts w:ascii="Times New Roman" w:hAnsi="Times New Roman"/>
                <w:sz w:val="24"/>
              </w:rPr>
              <w:t>'</w:t>
            </w:r>
            <w:r>
              <w:rPr>
                <w:rStyle w:val="InstructionsTabelleberschrift"/>
                <w:rFonts w:ascii="Times New Roman" w:hAnsi="Times New Roman"/>
                <w:sz w:val="24"/>
              </w:rPr>
              <w:t>APPLICAZIONE DEI FATTORI DI GRADUAZIONE</w:t>
            </w:r>
          </w:p>
          <w:p w14:paraId="7DEA5D32" w14:textId="4F1BC170" w:rsidR="00C55547" w:rsidRPr="004B0EC7" w:rsidRDefault="00C55547" w:rsidP="002D6CC5">
            <w:pPr>
              <w:suppressAutoHyphens/>
              <w:spacing w:after="200"/>
              <w:rPr>
                <w:rFonts w:ascii="Times New Roman" w:hAnsi="Times New Roman"/>
                <w:sz w:val="24"/>
              </w:rPr>
            </w:pPr>
            <w:r>
              <w:rPr>
                <w:rFonts w:ascii="Times New Roman" w:hAnsi="Times New Roman"/>
                <w:sz w:val="24"/>
              </w:rPr>
              <w:t>Il requisito di fondi propri è il valore maggiore tra (i) la copertura patrimoniale per il rischio specifico che si applica solo alle posizioni nette lunghe (colonna</w:t>
            </w:r>
            <w:r w:rsidR="00BC0A9B">
              <w:rPr>
                <w:rFonts w:ascii="Times New Roman" w:hAnsi="Times New Roman"/>
                <w:sz w:val="24"/>
              </w:rPr>
              <w:t> </w:t>
            </w:r>
            <w:r>
              <w:rPr>
                <w:rFonts w:ascii="Times New Roman" w:hAnsi="Times New Roman"/>
                <w:sz w:val="24"/>
              </w:rPr>
              <w:t>0430) e (ii) la copertura patrimoniale per il rischio specifico che si applica solo alle posizioni nette corte (colonna 0440).</w:t>
            </w:r>
          </w:p>
        </w:tc>
      </w:tr>
    </w:tbl>
    <w:p w14:paraId="4123A762" w14:textId="77777777" w:rsidR="00C55547" w:rsidRPr="004B0EC7" w:rsidRDefault="00C55547" w:rsidP="00BC0A9B">
      <w:pPr>
        <w:suppressAutoHyphens/>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BC0A9B">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C55547" w:rsidRPr="004B0EC7" w14:paraId="51303CB0" w14:textId="77777777" w:rsidTr="00E10B85">
        <w:tc>
          <w:tcPr>
            <w:tcW w:w="1008" w:type="dxa"/>
          </w:tcPr>
          <w:p w14:paraId="4EF580E7"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ESPOSIZIONI TOTALI</w:t>
            </w:r>
          </w:p>
          <w:p w14:paraId="47BDA358" w14:textId="17A78DBD" w:rsidR="00C55547" w:rsidRPr="004B0EC7" w:rsidRDefault="00C55547" w:rsidP="002D6CC5">
            <w:pPr>
              <w:suppressAutoHyphens/>
              <w:spacing w:after="200"/>
              <w:rPr>
                <w:rFonts w:ascii="Times New Roman" w:hAnsi="Times New Roman"/>
                <w:sz w:val="24"/>
              </w:rPr>
            </w:pPr>
            <w:r>
              <w:rPr>
                <w:rFonts w:ascii="Times New Roman" w:hAnsi="Times New Roman"/>
                <w:sz w:val="24"/>
              </w:rPr>
              <w:t>Importo complessivo delle posizioni in essere (detenute nel portafoglio di negoziazione di correlazione) segnalate dall</w:t>
            </w:r>
            <w:r w:rsidR="00BC0A9B">
              <w:rPr>
                <w:rFonts w:ascii="Times New Roman" w:hAnsi="Times New Roman"/>
                <w:sz w:val="24"/>
              </w:rPr>
              <w:t>'</w:t>
            </w:r>
            <w:r>
              <w:rPr>
                <w:rFonts w:ascii="Times New Roman" w:hAnsi="Times New Roman"/>
                <w:sz w:val="24"/>
              </w:rPr>
              <w:t>ente nel o nei suoi ruoli di cedente, investitore o promotore.</w:t>
            </w:r>
          </w:p>
        </w:tc>
      </w:tr>
      <w:tr w:rsidR="00C55547" w:rsidRPr="004B0EC7" w14:paraId="4F9E3B66" w14:textId="77777777" w:rsidTr="00E10B85">
        <w:tc>
          <w:tcPr>
            <w:tcW w:w="1008" w:type="dxa"/>
          </w:tcPr>
          <w:p w14:paraId="4294FDFC"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CEDENTE</w:t>
            </w:r>
          </w:p>
          <w:p w14:paraId="07F7FC7F" w14:textId="691C5D11" w:rsidR="00C55547" w:rsidRPr="004B0EC7" w:rsidRDefault="00C55547" w:rsidP="002D6CC5">
            <w:pPr>
              <w:suppressAutoHyphens/>
              <w:spacing w:after="240"/>
              <w:rPr>
                <w:rFonts w:ascii="Times New Roman" w:hAnsi="Times New Roman"/>
                <w:sz w:val="24"/>
              </w:rPr>
            </w:pPr>
            <w:r>
              <w:rPr>
                <w:rFonts w:ascii="Times New Roman" w:hAnsi="Times New Roman"/>
                <w:sz w:val="24"/>
              </w:rPr>
              <w:t xml:space="preserve">Articolo 4, paragrafo 1, punto 13, del regolamento (UE) n. 575/2013 </w:t>
            </w:r>
          </w:p>
        </w:tc>
      </w:tr>
      <w:tr w:rsidR="00C55547" w:rsidRPr="004B0EC7" w14:paraId="1113CFCE" w14:textId="77777777" w:rsidTr="00E10B85">
        <w:tc>
          <w:tcPr>
            <w:tcW w:w="1008" w:type="dxa"/>
          </w:tcPr>
          <w:p w14:paraId="045998CB"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0050-0070</w:t>
            </w:r>
          </w:p>
        </w:tc>
        <w:tc>
          <w:tcPr>
            <w:tcW w:w="8204" w:type="dxa"/>
          </w:tcPr>
          <w:p w14:paraId="7C4743F6"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INVESTITORE</w:t>
            </w:r>
          </w:p>
          <w:p w14:paraId="5507389D" w14:textId="0B49F372" w:rsidR="00C55547" w:rsidRPr="004B0EC7" w:rsidRDefault="00C55547" w:rsidP="00BC0A9B">
            <w:pPr>
              <w:suppressAutoHyphens/>
              <w:rPr>
                <w:rFonts w:ascii="Times New Roman" w:hAnsi="Times New Roman"/>
                <w:sz w:val="24"/>
              </w:rPr>
            </w:pPr>
            <w:r>
              <w:rPr>
                <w:rFonts w:ascii="Times New Roman" w:hAnsi="Times New Roman"/>
                <w:sz w:val="24"/>
              </w:rPr>
              <w:t>Ente creditizio che detiene posizioni verso la cartolarizzazione in un</w:t>
            </w:r>
            <w:r w:rsidR="00BC0A9B">
              <w:rPr>
                <w:rFonts w:ascii="Times New Roman" w:hAnsi="Times New Roman"/>
                <w:sz w:val="24"/>
              </w:rPr>
              <w:t>'</w:t>
            </w:r>
            <w:r>
              <w:rPr>
                <w:rFonts w:ascii="Times New Roman" w:hAnsi="Times New Roman"/>
                <w:sz w:val="24"/>
              </w:rPr>
              <w:t>operazione di cartolarizzazione nella quale non è né il cedente né il promotore né il prestatore originario.</w:t>
            </w:r>
          </w:p>
        </w:tc>
      </w:tr>
      <w:tr w:rsidR="00C55547" w:rsidRPr="004B0EC7" w14:paraId="3AE4557E" w14:textId="77777777" w:rsidTr="00E10B85">
        <w:tc>
          <w:tcPr>
            <w:tcW w:w="1008" w:type="dxa"/>
          </w:tcPr>
          <w:p w14:paraId="4017D379"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PROMOTORE</w:t>
            </w:r>
          </w:p>
          <w:p w14:paraId="65D6B605" w14:textId="76D8D27B" w:rsidR="005C14B0" w:rsidRPr="004B0EC7" w:rsidRDefault="00E64BFE" w:rsidP="00BC0A9B">
            <w:pPr>
              <w:suppressAutoHyphens/>
              <w:rPr>
                <w:rFonts w:ascii="Times New Roman" w:hAnsi="Times New Roman"/>
                <w:sz w:val="24"/>
              </w:rPr>
            </w:pPr>
            <w:r>
              <w:rPr>
                <w:rFonts w:ascii="Times New Roman" w:hAnsi="Times New Roman"/>
                <w:sz w:val="24"/>
              </w:rPr>
              <w:t xml:space="preserve">Articolo 4, paragrafo 1, punto 14, del regolamento (UE) n. 575/2013 </w:t>
            </w:r>
          </w:p>
          <w:p w14:paraId="7911CCA2" w14:textId="77777777" w:rsidR="00C55547" w:rsidRPr="004B0EC7" w:rsidRDefault="005F3BBE" w:rsidP="00BC0A9B">
            <w:pPr>
              <w:suppressAutoHyphens/>
              <w:rPr>
                <w:rFonts w:ascii="Times New Roman" w:hAnsi="Times New Roman"/>
                <w:sz w:val="24"/>
              </w:rPr>
            </w:pPr>
            <w:r>
              <w:rPr>
                <w:rFonts w:ascii="Times New Roman" w:hAnsi="Times New Roman"/>
                <w:sz w:val="24"/>
              </w:rPr>
              <w:t>Se cartolarizza anche attività proprie, il promotore inserisce nelle righe dedicate al cedente le informazioni relative alle proprie attività cartolarizzate.</w:t>
            </w:r>
          </w:p>
        </w:tc>
      </w:tr>
      <w:tr w:rsidR="00C55547" w:rsidRPr="004B0EC7" w14:paraId="5A0251A3" w14:textId="77777777" w:rsidTr="00E10B85">
        <w:tc>
          <w:tcPr>
            <w:tcW w:w="1008" w:type="dxa"/>
          </w:tcPr>
          <w:p w14:paraId="64B09950"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0030, 0060 e 0090</w:t>
            </w:r>
          </w:p>
        </w:tc>
        <w:tc>
          <w:tcPr>
            <w:tcW w:w="8204" w:type="dxa"/>
          </w:tcPr>
          <w:p w14:paraId="65F68A65"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POSIZIONI VERSO LA CARTOLARIZZAZIONE</w:t>
            </w:r>
          </w:p>
          <w:p w14:paraId="3E2839F4" w14:textId="25C5315E" w:rsidR="00C55547" w:rsidRPr="004B0EC7" w:rsidRDefault="00C55547" w:rsidP="00BC0A9B">
            <w:pPr>
              <w:suppressAutoHyphens/>
              <w:rPr>
                <w:rFonts w:ascii="Times New Roman" w:hAnsi="Times New Roman"/>
                <w:sz w:val="24"/>
              </w:rPr>
            </w:pPr>
            <w:r>
              <w:rPr>
                <w:rFonts w:ascii="Times New Roman" w:hAnsi="Times New Roman"/>
                <w:sz w:val="24"/>
              </w:rPr>
              <w:t xml:space="preserve">Il portafoglio di negoziazione di correlazione comprende cartolarizzazioni, derivati su crediti di tipo </w:t>
            </w:r>
            <w:proofErr w:type="spellStart"/>
            <w:r>
              <w:rPr>
                <w:rFonts w:ascii="Times New Roman" w:hAnsi="Times New Roman"/>
                <w:sz w:val="24"/>
              </w:rPr>
              <w:t>nth</w:t>
            </w:r>
            <w:proofErr w:type="spellEnd"/>
            <w:r>
              <w:rPr>
                <w:rFonts w:ascii="Times New Roman" w:hAnsi="Times New Roman"/>
                <w:sz w:val="24"/>
              </w:rPr>
              <w:t>-to-default ed eventualmente altre posizioni di copertura che soddisfano i criteri di cui all</w:t>
            </w:r>
            <w:r w:rsidR="00BC0A9B">
              <w:rPr>
                <w:rFonts w:ascii="Times New Roman" w:hAnsi="Times New Roman"/>
                <w:sz w:val="24"/>
              </w:rPr>
              <w:t>'</w:t>
            </w:r>
            <w:r>
              <w:rPr>
                <w:rFonts w:ascii="Times New Roman" w:hAnsi="Times New Roman"/>
                <w:sz w:val="24"/>
              </w:rPr>
              <w:t>articolo 338, paragrafi 2 e 3, del regolamento (UE) n. 575/2013.</w:t>
            </w:r>
          </w:p>
          <w:p w14:paraId="284429BF" w14:textId="6BC94B24" w:rsidR="00C55547" w:rsidRPr="004B0EC7" w:rsidRDefault="00C55547" w:rsidP="00BC0A9B">
            <w:pPr>
              <w:suppressAutoHyphens/>
              <w:rPr>
                <w:rFonts w:ascii="Times New Roman" w:hAnsi="Times New Roman"/>
                <w:sz w:val="24"/>
              </w:rPr>
            </w:pPr>
            <w:r>
              <w:rPr>
                <w:rFonts w:ascii="Times New Roman" w:hAnsi="Times New Roman"/>
                <w:sz w:val="24"/>
              </w:rPr>
              <w:t xml:space="preserve">I derivati di esposizioni verso la cartolarizzazione che offrono una quota proporzionale nonché le posizioni di copertura di posizioni del portafoglio di negoziazione di correlazione sono segnalati nella riga </w:t>
            </w:r>
            <w:r w:rsidR="00821D82">
              <w:rPr>
                <w:rFonts w:ascii="Times New Roman" w:hAnsi="Times New Roman"/>
                <w:sz w:val="24"/>
              </w:rPr>
              <w:t>"</w:t>
            </w:r>
            <w:r>
              <w:rPr>
                <w:rFonts w:ascii="Times New Roman" w:hAnsi="Times New Roman"/>
                <w:sz w:val="24"/>
              </w:rPr>
              <w:t>Altre posizioni del CTP</w:t>
            </w:r>
            <w:r w:rsidR="00821D82">
              <w:rPr>
                <w:rFonts w:ascii="Times New Roman" w:hAnsi="Times New Roman"/>
                <w:sz w:val="24"/>
              </w:rPr>
              <w:t>"</w:t>
            </w:r>
            <w:r>
              <w:rPr>
                <w:rFonts w:ascii="Times New Roman" w:hAnsi="Times New Roman"/>
                <w:sz w:val="24"/>
              </w:rPr>
              <w:t>.</w:t>
            </w:r>
          </w:p>
        </w:tc>
      </w:tr>
      <w:tr w:rsidR="00C55547" w:rsidRPr="004B0EC7" w14:paraId="310FE06B" w14:textId="77777777" w:rsidTr="00E10B85">
        <w:tc>
          <w:tcPr>
            <w:tcW w:w="1008" w:type="dxa"/>
          </w:tcPr>
          <w:p w14:paraId="2602BE79"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DERIVATI SU CREDITI DI TIPO NTH-TO-DEFAULT</w:t>
            </w:r>
          </w:p>
          <w:p w14:paraId="298FC0AB" w14:textId="44770D4C" w:rsidR="00C55547" w:rsidRPr="004B0EC7" w:rsidRDefault="00C55547" w:rsidP="00BC0A9B">
            <w:pPr>
              <w:suppressAutoHyphens/>
              <w:rPr>
                <w:rFonts w:ascii="Times New Roman" w:hAnsi="Times New Roman"/>
                <w:sz w:val="24"/>
              </w:rPr>
            </w:pPr>
            <w:r>
              <w:rPr>
                <w:rFonts w:ascii="Times New Roman" w:hAnsi="Times New Roman"/>
                <w:sz w:val="24"/>
              </w:rPr>
              <w:t xml:space="preserve">I derivati su crediti di tipo </w:t>
            </w:r>
            <w:proofErr w:type="spellStart"/>
            <w:r>
              <w:rPr>
                <w:rFonts w:ascii="Times New Roman" w:hAnsi="Times New Roman"/>
                <w:sz w:val="24"/>
              </w:rPr>
              <w:t>nth</w:t>
            </w:r>
            <w:proofErr w:type="spellEnd"/>
            <w:r>
              <w:rPr>
                <w:rFonts w:ascii="Times New Roman" w:hAnsi="Times New Roman"/>
                <w:sz w:val="24"/>
              </w:rPr>
              <w:t xml:space="preserve">-to-default coperti da derivati su crediti di tipo </w:t>
            </w:r>
            <w:proofErr w:type="spellStart"/>
            <w:r>
              <w:rPr>
                <w:rFonts w:ascii="Times New Roman" w:hAnsi="Times New Roman"/>
                <w:sz w:val="24"/>
              </w:rPr>
              <w:t>nth</w:t>
            </w:r>
            <w:proofErr w:type="spellEnd"/>
            <w:r w:rsidR="00BC0A9B">
              <w:rPr>
                <w:rFonts w:ascii="Times New Roman" w:hAnsi="Times New Roman"/>
                <w:sz w:val="24"/>
              </w:rPr>
              <w:noBreakHyphen/>
            </w:r>
            <w:r>
              <w:rPr>
                <w:rFonts w:ascii="Times New Roman" w:hAnsi="Times New Roman"/>
                <w:sz w:val="24"/>
              </w:rPr>
              <w:t>to</w:t>
            </w:r>
            <w:r w:rsidR="00BC0A9B">
              <w:rPr>
                <w:rFonts w:ascii="Times New Roman" w:hAnsi="Times New Roman"/>
                <w:sz w:val="24"/>
              </w:rPr>
              <w:noBreakHyphen/>
            </w:r>
            <w:r>
              <w:rPr>
                <w:rFonts w:ascii="Times New Roman" w:hAnsi="Times New Roman"/>
                <w:sz w:val="24"/>
              </w:rPr>
              <w:t>default conformemente all</w:t>
            </w:r>
            <w:r w:rsidR="00BC0A9B">
              <w:rPr>
                <w:rFonts w:ascii="Times New Roman" w:hAnsi="Times New Roman"/>
                <w:sz w:val="24"/>
              </w:rPr>
              <w:t>'</w:t>
            </w:r>
            <w:r>
              <w:rPr>
                <w:rFonts w:ascii="Times New Roman" w:hAnsi="Times New Roman"/>
                <w:sz w:val="24"/>
              </w:rPr>
              <w:t>articolo 347 del regolamento (UE) n. 575/2013 sono inseriti entrambi in questa riga.</w:t>
            </w:r>
          </w:p>
          <w:p w14:paraId="0ADF3C10" w14:textId="1A2A0049" w:rsidR="00C55547" w:rsidRPr="004B0EC7" w:rsidRDefault="00C55547" w:rsidP="00BC0A9B">
            <w:pPr>
              <w:suppressAutoHyphens/>
              <w:rPr>
                <w:rFonts w:ascii="Times New Roman" w:hAnsi="Times New Roman"/>
                <w:sz w:val="24"/>
              </w:rPr>
            </w:pPr>
            <w:r>
              <w:rPr>
                <w:rFonts w:ascii="Times New Roman" w:hAnsi="Times New Roman"/>
                <w:sz w:val="24"/>
              </w:rPr>
              <w:t>Le posizioni del cedente, dell</w:t>
            </w:r>
            <w:r w:rsidR="00BC0A9B">
              <w:rPr>
                <w:rFonts w:ascii="Times New Roman" w:hAnsi="Times New Roman"/>
                <w:sz w:val="24"/>
              </w:rPr>
              <w:t>'</w:t>
            </w:r>
            <w:r>
              <w:rPr>
                <w:rFonts w:ascii="Times New Roman" w:hAnsi="Times New Roman"/>
                <w:sz w:val="24"/>
              </w:rPr>
              <w:t xml:space="preserve">investitore e del promotore non sono idonee per i derivati su crediti di tipo </w:t>
            </w:r>
            <w:proofErr w:type="spellStart"/>
            <w:r>
              <w:rPr>
                <w:rFonts w:ascii="Times New Roman" w:hAnsi="Times New Roman"/>
                <w:sz w:val="24"/>
              </w:rPr>
              <w:t>nth</w:t>
            </w:r>
            <w:proofErr w:type="spellEnd"/>
            <w:r>
              <w:rPr>
                <w:rFonts w:ascii="Times New Roman" w:hAnsi="Times New Roman"/>
                <w:sz w:val="24"/>
              </w:rPr>
              <w:t>-to-default; quindi, per questi derivati non è possibile fornire la ripartizione come per le posizioni verso la cartolarizzazione.</w:t>
            </w:r>
          </w:p>
        </w:tc>
      </w:tr>
      <w:tr w:rsidR="00C55547" w:rsidRPr="004B0EC7" w14:paraId="3804EA7A" w14:textId="77777777" w:rsidTr="00E10B85">
        <w:tc>
          <w:tcPr>
            <w:tcW w:w="1008" w:type="dxa"/>
          </w:tcPr>
          <w:p w14:paraId="492141F6" w14:textId="77777777" w:rsidR="00C55547"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e 0120</w:t>
            </w:r>
          </w:p>
        </w:tc>
        <w:tc>
          <w:tcPr>
            <w:tcW w:w="8204" w:type="dxa"/>
          </w:tcPr>
          <w:p w14:paraId="1BEC5316" w14:textId="77777777" w:rsidR="00C55547" w:rsidRPr="004B0EC7" w:rsidRDefault="00C55547" w:rsidP="00BC0A9B">
            <w:pPr>
              <w:suppressAutoHyphens/>
              <w:rPr>
                <w:rStyle w:val="InstructionsTabelleberschrift"/>
                <w:rFonts w:ascii="Times New Roman" w:hAnsi="Times New Roman"/>
                <w:sz w:val="24"/>
              </w:rPr>
            </w:pPr>
            <w:r>
              <w:rPr>
                <w:rStyle w:val="InstructionsTabelleberschrift"/>
                <w:rFonts w:ascii="Times New Roman" w:hAnsi="Times New Roman"/>
                <w:sz w:val="24"/>
              </w:rPr>
              <w:t>ALTRE POSIZIONI DEL CTP (PORTAFOGLIO DI NEGOZIAZIONE DI CORRELAZIONE)</w:t>
            </w:r>
          </w:p>
          <w:p w14:paraId="543C28DD" w14:textId="77777777" w:rsidR="00C55547" w:rsidRPr="004B0EC7" w:rsidRDefault="00C55547" w:rsidP="00BC0A9B">
            <w:pPr>
              <w:suppressAutoHyphens/>
              <w:rPr>
                <w:rFonts w:ascii="Times New Roman" w:hAnsi="Times New Roman"/>
                <w:sz w:val="24"/>
              </w:rPr>
            </w:pPr>
            <w:r>
              <w:rPr>
                <w:rFonts w:ascii="Times New Roman" w:hAnsi="Times New Roman"/>
                <w:sz w:val="24"/>
              </w:rPr>
              <w:t xml:space="preserve">Sono incluse le seguenti posizioni: </w:t>
            </w:r>
          </w:p>
          <w:p w14:paraId="22F89721" w14:textId="77777777" w:rsidR="00C55547" w:rsidRPr="004B0EC7" w:rsidRDefault="00C55547" w:rsidP="00BC0A9B">
            <w:pPr>
              <w:tabs>
                <w:tab w:val="left" w:pos="720"/>
              </w:tabs>
              <w:suppressAutoHyphens/>
              <w:ind w:left="720" w:hanging="360"/>
              <w:rPr>
                <w:rFonts w:ascii="Times New Roman" w:hAnsi="Times New Roman"/>
                <w:sz w:val="24"/>
              </w:rPr>
            </w:pPr>
            <w:r>
              <w:rPr>
                <w:rFonts w:ascii="Symbol" w:hAnsi="Symbol"/>
                <w:sz w:val="24"/>
              </w:rPr>
              <w:t></w:t>
            </w:r>
            <w:r>
              <w:tab/>
            </w:r>
            <w:r>
              <w:rPr>
                <w:rFonts w:ascii="Times New Roman" w:hAnsi="Times New Roman"/>
                <w:sz w:val="24"/>
              </w:rPr>
              <w:t>i derivati di esposizioni verso la cartolarizzazione che offrono una quota proporzionale nonché le posizioni di copertura di posizioni del CTP;</w:t>
            </w:r>
          </w:p>
          <w:p w14:paraId="35CA9598" w14:textId="052E3A32" w:rsidR="00C55547" w:rsidRPr="004B0EC7" w:rsidRDefault="00C55547" w:rsidP="00BC0A9B">
            <w:pPr>
              <w:tabs>
                <w:tab w:val="left" w:pos="720"/>
              </w:tabs>
              <w:suppressAutoHyphens/>
              <w:ind w:left="720" w:hanging="360"/>
              <w:rPr>
                <w:rFonts w:ascii="Times New Roman" w:hAnsi="Times New Roman"/>
                <w:sz w:val="24"/>
              </w:rPr>
            </w:pPr>
            <w:r>
              <w:rPr>
                <w:rFonts w:ascii="Symbol" w:hAnsi="Symbol"/>
                <w:sz w:val="24"/>
              </w:rPr>
              <w:t></w:t>
            </w:r>
            <w:r>
              <w:tab/>
            </w:r>
            <w:r>
              <w:rPr>
                <w:rFonts w:ascii="Times New Roman" w:hAnsi="Times New Roman"/>
                <w:sz w:val="24"/>
              </w:rPr>
              <w:t>le posizioni del CTP coperte da derivati su crediti conformemente all</w:t>
            </w:r>
            <w:r w:rsidR="00BC0A9B">
              <w:rPr>
                <w:rFonts w:ascii="Times New Roman" w:hAnsi="Times New Roman"/>
                <w:sz w:val="24"/>
              </w:rPr>
              <w:t>'</w:t>
            </w:r>
            <w:r>
              <w:rPr>
                <w:rFonts w:ascii="Times New Roman" w:hAnsi="Times New Roman"/>
                <w:sz w:val="24"/>
              </w:rPr>
              <w:t>articolo 346 del regolamento (UE) n. 575/2013;</w:t>
            </w:r>
          </w:p>
          <w:p w14:paraId="37D9C26F" w14:textId="69C791C6" w:rsidR="00C55547" w:rsidRPr="004B0EC7" w:rsidRDefault="00C55547" w:rsidP="00BC0A9B">
            <w:pPr>
              <w:tabs>
                <w:tab w:val="left" w:pos="720"/>
              </w:tabs>
              <w:suppressAutoHyphens/>
              <w:ind w:left="720" w:hanging="360"/>
              <w:rPr>
                <w:rFonts w:ascii="Times New Roman" w:hAnsi="Times New Roman"/>
                <w:sz w:val="24"/>
              </w:rPr>
            </w:pPr>
            <w:r>
              <w:rPr>
                <w:rFonts w:ascii="Symbol" w:hAnsi="Symbol"/>
                <w:sz w:val="24"/>
              </w:rPr>
              <w:t></w:t>
            </w:r>
            <w:r>
              <w:tab/>
            </w:r>
            <w:r>
              <w:rPr>
                <w:rFonts w:ascii="Times New Roman" w:hAnsi="Times New Roman"/>
                <w:sz w:val="24"/>
              </w:rPr>
              <w:t>le altre posizioni conformi all</w:t>
            </w:r>
            <w:r w:rsidR="00BC0A9B">
              <w:rPr>
                <w:rFonts w:ascii="Times New Roman" w:hAnsi="Times New Roman"/>
                <w:sz w:val="24"/>
              </w:rPr>
              <w:t>'</w:t>
            </w:r>
            <w:r>
              <w:rPr>
                <w:rFonts w:ascii="Times New Roman" w:hAnsi="Times New Roman"/>
                <w:sz w:val="24"/>
              </w:rPr>
              <w:t>articolo 338, paragrafo 3, del regolamento (UE) n. 575/2013.</w:t>
            </w:r>
          </w:p>
        </w:tc>
      </w:tr>
    </w:tbl>
    <w:p w14:paraId="2FA40F1B"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lastRenderedPageBreak/>
        <w:t>5.4.</w:t>
      </w:r>
      <w:r w:rsidRPr="00AC0A4B">
        <w:rPr>
          <w:u w:val="none"/>
        </w:rPr>
        <w:tab/>
      </w:r>
      <w:r>
        <w:rPr>
          <w:rFonts w:ascii="Times New Roman" w:hAnsi="Times New Roman"/>
          <w:sz w:val="24"/>
        </w:rPr>
        <w:t>C 21.01 - Rischio di mercato: metodo standardizzato semplificato per il rischio di posizione su strumenti di capitale</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rsidRPr="00AC0A4B">
        <w:rPr>
          <w:u w:val="none"/>
        </w:rPr>
        <w:tab/>
      </w:r>
      <w:r>
        <w:rPr>
          <w:rFonts w:ascii="Times New Roman" w:hAnsi="Times New Roman"/>
          <w:sz w:val="24"/>
        </w:rPr>
        <w:t>Osservazioni di carattere generale</w:t>
      </w:r>
      <w:bookmarkEnd w:id="89"/>
      <w:bookmarkEnd w:id="90"/>
      <w:bookmarkEnd w:id="91"/>
      <w:bookmarkEnd w:id="92"/>
      <w:bookmarkEnd w:id="93"/>
      <w:bookmarkEnd w:id="94"/>
      <w:bookmarkEnd w:id="95"/>
    </w:p>
    <w:p w14:paraId="1BA8EF6D" w14:textId="171A3E6F" w:rsidR="000B0B09"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169</w:t>
      </w:r>
      <w:r>
        <w:fldChar w:fldCharType="end"/>
      </w:r>
      <w:r>
        <w:t>.</w:t>
      </w:r>
      <w:r>
        <w:tab/>
        <w:t xml:space="preserve"> In questo modello vanno inserite informazioni riguardanti le posizioni e i relativi requisiti di fondi propri per il rischio di posizione su strumenti di capitale detenuti nel portafoglio di negoziazione e trattati secondo il metodo standardizzato.</w:t>
      </w:r>
    </w:p>
    <w:p w14:paraId="3AF5EC7C" w14:textId="5DBF0E3A" w:rsidR="00B828CC"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170</w:t>
      </w:r>
      <w:r>
        <w:fldChar w:fldCharType="end"/>
      </w:r>
      <w:r>
        <w:t>.</w:t>
      </w:r>
      <w:r>
        <w:tab/>
        <w:t xml:space="preserve"> Il modello deve essere compilato separatamente per il </w:t>
      </w:r>
      <w:r w:rsidR="00BC0A9B">
        <w:t>"</w:t>
      </w:r>
      <w:r>
        <w:t>Totale</w:t>
      </w:r>
      <w:r w:rsidR="00BC0A9B">
        <w:t>"</w:t>
      </w:r>
      <w:r>
        <w:t>, più un elenco statico e prestabilito comprendente i seguenti mercati: Albania, Bulgaria, Danimarca, Egitto, ex Repubblica iugoslava di Macedonia, Federazione russa, Giappone, Islanda, Liechtenstein, Norvegia, Polonia, Regno Unito, Repubblica ceca, Romania, Serbia, Svezia, Svizzera, Turchia, Ucraina, Ungheria, USA, zona euro, e un modello residuale per tutti gli altri mercati. Ai fini di quest</w:t>
      </w:r>
      <w:r w:rsidR="00BC0A9B">
        <w:t>'</w:t>
      </w:r>
      <w:r>
        <w:t xml:space="preserve">obbligo di segnalazione, il termine </w:t>
      </w:r>
      <w:r w:rsidR="00BC0A9B">
        <w:t>"</w:t>
      </w:r>
      <w:r>
        <w:t>mercato</w:t>
      </w:r>
      <w:r w:rsidR="00BC0A9B">
        <w:t>"</w:t>
      </w:r>
      <w:r>
        <w:t xml:space="preserve"> ha il valore di </w:t>
      </w:r>
      <w:r w:rsidR="00BC0A9B">
        <w:t>"</w:t>
      </w:r>
      <w:r>
        <w:t>paese</w:t>
      </w:r>
      <w:r w:rsidR="00BC0A9B">
        <w:t>"</w:t>
      </w:r>
      <w:r>
        <w:t xml:space="preserve"> (tranne che per i paesi appartenenti alla zona euro, cfr. il regolamento delegato (UE) n. 525/2014 della Commissione</w:t>
      </w:r>
      <w:r>
        <w:rPr>
          <w:rStyle w:val="FootnoteReference"/>
        </w:rPr>
        <w:footnoteReference w:id="2"/>
      </w:r>
      <w:r>
        <w:t>).</w:t>
      </w:r>
    </w:p>
    <w:p w14:paraId="077E1A41" w14:textId="0A87F237"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rsidRPr="00AC0A4B">
        <w:rPr>
          <w:u w:val="none"/>
        </w:rPr>
        <w:tab/>
      </w:r>
      <w:r>
        <w:rPr>
          <w:rFonts w:ascii="Times New Roman" w:hAnsi="Times New Roman"/>
          <w:sz w:val="24"/>
        </w:rPr>
        <w:t>Istruzioni relative a posizioni specifiche</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4B0EC7" w14:paraId="1B6DCA2D" w14:textId="77777777" w:rsidTr="00672D2A">
        <w:tc>
          <w:tcPr>
            <w:tcW w:w="988" w:type="dxa"/>
          </w:tcPr>
          <w:p w14:paraId="2E10DD05"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BC0A9B">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TUTTE LE POSIZIONI (LUNGHE E CORTE)</w:t>
            </w:r>
          </w:p>
          <w:p w14:paraId="754457ED" w14:textId="6411188D" w:rsidR="005C14B0" w:rsidRPr="004B0EC7" w:rsidRDefault="000B0B09" w:rsidP="00BC0A9B">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Articolo 102 e articolo 105, paragrafo 1, del regolamento (UE) n. 575/2013. </w:t>
            </w:r>
          </w:p>
          <w:p w14:paraId="59EE061F" w14:textId="3FF92F41" w:rsidR="000B0B09" w:rsidRPr="004B0EC7" w:rsidRDefault="000B0B09" w:rsidP="00BC0A9B">
            <w:pPr>
              <w:suppressAutoHyphens/>
              <w:autoSpaceDE w:val="0"/>
              <w:autoSpaceDN w:val="0"/>
              <w:adjustRightInd w:val="0"/>
              <w:spacing w:before="0"/>
              <w:rPr>
                <w:rFonts w:ascii="Times New Roman" w:hAnsi="Times New Roman"/>
                <w:sz w:val="24"/>
              </w:rPr>
            </w:pPr>
            <w:r>
              <w:rPr>
                <w:rFonts w:ascii="Times New Roman" w:hAnsi="Times New Roman"/>
                <w:sz w:val="24"/>
              </w:rPr>
              <w:t xml:space="preserve">Si tratta di posizioni lorde non compensate da strumenti; sono tuttavia escluse le posizioni in impegni irrevocabili di acquisto sottoscritte o </w:t>
            </w:r>
            <w:proofErr w:type="spellStart"/>
            <w:r>
              <w:rPr>
                <w:rFonts w:ascii="Times New Roman" w:hAnsi="Times New Roman"/>
                <w:sz w:val="24"/>
              </w:rPr>
              <w:t>risottoscritte</w:t>
            </w:r>
            <w:proofErr w:type="spellEnd"/>
            <w:r>
              <w:rPr>
                <w:rFonts w:ascii="Times New Roman" w:hAnsi="Times New Roman"/>
                <w:sz w:val="24"/>
              </w:rPr>
              <w:t xml:space="preserve"> da terzi di cui all</w:t>
            </w:r>
            <w:r w:rsidR="00BC0A9B">
              <w:rPr>
                <w:rFonts w:ascii="Times New Roman" w:hAnsi="Times New Roman"/>
                <w:sz w:val="24"/>
              </w:rPr>
              <w:t>'</w:t>
            </w:r>
            <w:r>
              <w:rPr>
                <w:rFonts w:ascii="Times New Roman" w:hAnsi="Times New Roman"/>
                <w:sz w:val="24"/>
              </w:rPr>
              <w:t xml:space="preserve">articolo 345, paragrafo 1, primo comma, seconda frase, del regolamento (UE) n. 575/2013. </w:t>
            </w:r>
          </w:p>
        </w:tc>
      </w:tr>
      <w:tr w:rsidR="000B0B09" w:rsidRPr="004B0EC7" w14:paraId="518A8218" w14:textId="77777777" w:rsidTr="00672D2A">
        <w:tc>
          <w:tcPr>
            <w:tcW w:w="988" w:type="dxa"/>
          </w:tcPr>
          <w:p w14:paraId="5DF1DDF0"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NETTE (LUNGHE E CORTE)</w:t>
            </w:r>
          </w:p>
          <w:p w14:paraId="72A57BC7" w14:textId="1B6E0BBC" w:rsidR="000B0B09" w:rsidRPr="004B0EC7" w:rsidRDefault="000B0B09" w:rsidP="00BC0A9B">
            <w:pPr>
              <w:suppressAutoHyphens/>
              <w:autoSpaceDE w:val="0"/>
              <w:autoSpaceDN w:val="0"/>
              <w:adjustRightInd w:val="0"/>
              <w:rPr>
                <w:rFonts w:ascii="Times New Roman" w:hAnsi="Times New Roman"/>
                <w:sz w:val="24"/>
              </w:rPr>
            </w:pPr>
            <w:r>
              <w:rPr>
                <w:rFonts w:ascii="Times New Roman" w:hAnsi="Times New Roman"/>
                <w:sz w:val="24"/>
              </w:rPr>
              <w:t xml:space="preserve">Articoli 327, 329, 332, 341 e 345 del regolamento (UE) n. 575/2013. </w:t>
            </w:r>
          </w:p>
        </w:tc>
      </w:tr>
      <w:tr w:rsidR="000B0B09" w:rsidRPr="004B0EC7" w14:paraId="1ED40A34" w14:textId="77777777" w:rsidTr="00672D2A">
        <w:tc>
          <w:tcPr>
            <w:tcW w:w="988" w:type="dxa"/>
          </w:tcPr>
          <w:p w14:paraId="49ADB5D9"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BC0A9B">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w:t>
            </w:r>
          </w:p>
          <w:p w14:paraId="5B62E698" w14:textId="10E20CA2" w:rsidR="000B0B09" w:rsidRPr="004B0EC7" w:rsidRDefault="000B0B09" w:rsidP="00BC0A9B">
            <w:pPr>
              <w:suppressAutoHyphens/>
              <w:autoSpaceDE w:val="0"/>
              <w:autoSpaceDN w:val="0"/>
              <w:adjustRightInd w:val="0"/>
              <w:spacing w:after="0"/>
              <w:rPr>
                <w:rFonts w:ascii="Times New Roman" w:hAnsi="Times New Roman"/>
                <w:sz w:val="24"/>
              </w:rPr>
            </w:pPr>
            <w:r>
              <w:rPr>
                <w:rFonts w:ascii="Times New Roman" w:hAnsi="Times New Roman"/>
                <w:sz w:val="24"/>
              </w:rPr>
              <w:t>Posizioni nette che, secondo i differenti metodi di cui alla parte tre, titolo IV, capo 2, del regolamento (UE) n. 575/2013, ricevono una copertura patrimoniale. La copertura patrimoniale deve essere calcolata separatamente per ciascun mercato nazionale. Non sono incluse in questa colonna le posizioni in contratti future su indici azionari di cui all</w:t>
            </w:r>
            <w:r w:rsidR="00BC0A9B">
              <w:rPr>
                <w:rFonts w:ascii="Times New Roman" w:hAnsi="Times New Roman"/>
                <w:sz w:val="24"/>
              </w:rPr>
              <w:t>'</w:t>
            </w:r>
            <w:r>
              <w:rPr>
                <w:rFonts w:ascii="Times New Roman" w:hAnsi="Times New Roman"/>
                <w:sz w:val="24"/>
              </w:rPr>
              <w:t>articolo 344, paragrafo 4, seconda frase, del regolamento (UE) n. 575/2013.</w:t>
            </w:r>
          </w:p>
          <w:p w14:paraId="7C352B88"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0F0F6E44" w:rsidR="000B0B09" w:rsidRPr="004B0EC7" w:rsidRDefault="000B0B09" w:rsidP="00BC0A9B">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 PRIMA DELL</w:t>
            </w:r>
            <w:r w:rsidR="00BC0A9B">
              <w:rPr>
                <w:rFonts w:ascii="Times New Roman" w:hAnsi="Times New Roman"/>
                <w:b/>
                <w:sz w:val="24"/>
                <w:u w:val="single"/>
              </w:rPr>
              <w:t>'</w:t>
            </w:r>
            <w:r>
              <w:rPr>
                <w:rFonts w:ascii="Times New Roman" w:hAnsi="Times New Roman"/>
                <w:b/>
                <w:sz w:val="24"/>
                <w:u w:val="single"/>
              </w:rPr>
              <w:t>APPLICAZIONE DEI FATTORI DI GRADUAZIONE</w:t>
            </w:r>
          </w:p>
          <w:p w14:paraId="75CDA27D" w14:textId="7D3EEA75" w:rsidR="000B0B09" w:rsidRPr="004B0EC7" w:rsidRDefault="000B0B09" w:rsidP="00BC0A9B">
            <w:pPr>
              <w:suppressAutoHyphens/>
              <w:autoSpaceDE w:val="0"/>
              <w:autoSpaceDN w:val="0"/>
              <w:adjustRightInd w:val="0"/>
              <w:spacing w:after="0"/>
              <w:rPr>
                <w:rFonts w:ascii="Times New Roman" w:hAnsi="Times New Roman"/>
                <w:sz w:val="24"/>
              </w:rPr>
            </w:pPr>
            <w:r>
              <w:rPr>
                <w:rFonts w:ascii="Times New Roman" w:hAnsi="Times New Roman"/>
                <w:sz w:val="24"/>
              </w:rPr>
              <w:t xml:space="preserve">Il requisito di fondi propri conformemente alla parte tre, titolo IV, capo 2, del regolamento (UE) n. 575/2013 per qualsiasi posizione pertinente, prima </w:t>
            </w:r>
            <w:r>
              <w:rPr>
                <w:rFonts w:ascii="Times New Roman" w:hAnsi="Times New Roman"/>
                <w:sz w:val="24"/>
              </w:rPr>
              <w:lastRenderedPageBreak/>
              <w:t>dell</w:t>
            </w:r>
            <w:r w:rsidR="00BC0A9B">
              <w:rPr>
                <w:rFonts w:ascii="Times New Roman" w:hAnsi="Times New Roman"/>
                <w:sz w:val="24"/>
              </w:rPr>
              <w:t>'</w:t>
            </w:r>
            <w:r>
              <w:rPr>
                <w:rFonts w:ascii="Times New Roman" w:hAnsi="Times New Roman"/>
                <w:sz w:val="24"/>
              </w:rPr>
              <w:t>applicazione dei fattori di graduazione di cui all</w:t>
            </w:r>
            <w:r w:rsidR="00BC0A9B">
              <w:rPr>
                <w:rFonts w:ascii="Times New Roman" w:hAnsi="Times New Roman"/>
                <w:sz w:val="24"/>
              </w:rPr>
              <w:t>'</w:t>
            </w:r>
            <w:r>
              <w:rPr>
                <w:rFonts w:ascii="Times New Roman" w:hAnsi="Times New Roman"/>
                <w:sz w:val="24"/>
              </w:rPr>
              <w:t>articolo 325, paragrafo 2, lettera a), punto ii), di tale regolamento.</w:t>
            </w:r>
          </w:p>
          <w:p w14:paraId="6CDF917D" w14:textId="77777777" w:rsidR="000B0B09" w:rsidRPr="004B0EC7" w:rsidRDefault="000B0B09" w:rsidP="00BC0A9B">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4" w:type="dxa"/>
          </w:tcPr>
          <w:p w14:paraId="1A727463" w14:textId="5DD62538" w:rsidR="000B0B09" w:rsidRPr="004B0EC7" w:rsidRDefault="000B0B09" w:rsidP="00BC0A9B">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BC0A9B">
              <w:rPr>
                <w:rFonts w:ascii="Times New Roman" w:hAnsi="Times New Roman"/>
                <w:b/>
                <w:sz w:val="24"/>
                <w:u w:val="single"/>
              </w:rPr>
              <w:t>'</w:t>
            </w:r>
            <w:r>
              <w:rPr>
                <w:rFonts w:ascii="Times New Roman" w:hAnsi="Times New Roman"/>
                <w:b/>
                <w:sz w:val="24"/>
                <w:u w:val="single"/>
              </w:rPr>
              <w:t>ESPOSIZIONE AL RISCHIO</w:t>
            </w:r>
          </w:p>
          <w:p w14:paraId="33E7C378" w14:textId="2CD315CB" w:rsidR="00E64BFE" w:rsidRPr="004B0EC7" w:rsidRDefault="000B0B09" w:rsidP="00BC0A9B">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Articolo 92, paragrafo 4, lettera b), punto i), del regolamento (UE) n. 575/2013. </w:t>
            </w:r>
          </w:p>
          <w:p w14:paraId="5D42B3B3" w14:textId="5B3A9321" w:rsidR="000B0B09" w:rsidRPr="004B0EC7" w:rsidRDefault="000B0B09" w:rsidP="00BC0A9B">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Risultato della moltiplicazione dei requisiti di fondi propri per 12,5 conformemente all</w:t>
            </w:r>
            <w:r w:rsidR="00BC0A9B">
              <w:rPr>
                <w:rFonts w:ascii="Times New Roman" w:hAnsi="Times New Roman"/>
                <w:sz w:val="24"/>
              </w:rPr>
              <w:t>'</w:t>
            </w:r>
            <w:r>
              <w:rPr>
                <w:rFonts w:ascii="Times New Roman" w:hAnsi="Times New Roman"/>
                <w:sz w:val="24"/>
              </w:rPr>
              <w:t>articolo 92, paragrafo 6, lettera b), del regolamento (UE) n.</w:t>
            </w:r>
            <w:r w:rsidR="00BC0A9B">
              <w:rPr>
                <w:rFonts w:ascii="Times New Roman" w:hAnsi="Times New Roman"/>
                <w:sz w:val="24"/>
              </w:rPr>
              <w:t> </w:t>
            </w:r>
            <w:r>
              <w:rPr>
                <w:rFonts w:ascii="Times New Roman" w:hAnsi="Times New Roman"/>
                <w:sz w:val="24"/>
              </w:rPr>
              <w:t>575/2013 e per il fattore di graduazione conformemente all</w:t>
            </w:r>
            <w:r w:rsidR="00BC0A9B">
              <w:rPr>
                <w:rFonts w:ascii="Times New Roman" w:hAnsi="Times New Roman"/>
                <w:sz w:val="24"/>
              </w:rPr>
              <w:t>'</w:t>
            </w:r>
            <w:r>
              <w:rPr>
                <w:rFonts w:ascii="Times New Roman" w:hAnsi="Times New Roman"/>
                <w:sz w:val="24"/>
              </w:rPr>
              <w:t>articolo 325, paragrafo 2, lettera a), punto ii), di tale regolamento.</w:t>
            </w:r>
          </w:p>
        </w:tc>
      </w:tr>
    </w:tbl>
    <w:p w14:paraId="62FB026B"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4B0EC7" w14:paraId="7546B05C" w14:textId="77777777" w:rsidTr="00672D2A">
        <w:tc>
          <w:tcPr>
            <w:tcW w:w="1008" w:type="dxa"/>
          </w:tcPr>
          <w:p w14:paraId="7BE875B0"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NEL PORTAFOGLIO DI NEGOZIAZIONE</w:t>
            </w:r>
          </w:p>
          <w:p w14:paraId="030F1935" w14:textId="4A60111A" w:rsidR="000B0B09" w:rsidRPr="004B0EC7" w:rsidRDefault="000B0B09" w:rsidP="00BC0A9B">
            <w:pPr>
              <w:tabs>
                <w:tab w:val="left" w:pos="1665"/>
              </w:tabs>
              <w:suppressAutoHyphens/>
              <w:autoSpaceDE w:val="0"/>
              <w:autoSpaceDN w:val="0"/>
              <w:adjustRightInd w:val="0"/>
              <w:rPr>
                <w:rFonts w:ascii="Times New Roman" w:hAnsi="Times New Roman"/>
                <w:sz w:val="24"/>
              </w:rPr>
            </w:pPr>
            <w:r>
              <w:rPr>
                <w:rFonts w:ascii="Times New Roman" w:hAnsi="Times New Roman"/>
                <w:sz w:val="24"/>
              </w:rPr>
              <w:t>Requisiti di fondi propri per il rischio di posizione di cui all</w:t>
            </w:r>
            <w:r w:rsidR="00BC0A9B">
              <w:rPr>
                <w:rFonts w:ascii="Times New Roman" w:hAnsi="Times New Roman"/>
                <w:sz w:val="24"/>
              </w:rPr>
              <w:t>'</w:t>
            </w:r>
            <w:r>
              <w:rPr>
                <w:rFonts w:ascii="Times New Roman" w:hAnsi="Times New Roman"/>
                <w:sz w:val="24"/>
              </w:rPr>
              <w:t>articolo 92, paragrafo 4, lettera b), punto i), del regolamento (UE) n. 575/2013, e alla parte tre, titolo IV, capo 2, sezione 3, di tale regolamento.</w:t>
            </w:r>
          </w:p>
        </w:tc>
      </w:tr>
      <w:tr w:rsidR="000B0B09" w:rsidRPr="004B0EC7" w14:paraId="06FCC7F1" w14:textId="77777777" w:rsidTr="00672D2A">
        <w:tc>
          <w:tcPr>
            <w:tcW w:w="1008" w:type="dxa"/>
          </w:tcPr>
          <w:p w14:paraId="33E8BCC6"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GENERICO</w:t>
            </w:r>
          </w:p>
          <w:p w14:paraId="21F94335" w14:textId="276AABDB" w:rsidR="000B0B09" w:rsidRPr="004B0EC7" w:rsidRDefault="000B0B09" w:rsidP="00BC0A9B">
            <w:pPr>
              <w:suppressAutoHyphens/>
              <w:autoSpaceDE w:val="0"/>
              <w:autoSpaceDN w:val="0"/>
              <w:adjustRightInd w:val="0"/>
              <w:rPr>
                <w:rFonts w:ascii="Times New Roman" w:hAnsi="Times New Roman"/>
                <w:sz w:val="24"/>
              </w:rPr>
            </w:pPr>
            <w:r>
              <w:rPr>
                <w:rFonts w:ascii="Times New Roman" w:hAnsi="Times New Roman"/>
                <w:sz w:val="24"/>
              </w:rPr>
              <w:t xml:space="preserve">Posizioni in strumenti di capitale soggette al rischio generico (articolo 343 del regolamento (UE) n. 575/2013) e relativo requisito di fondi propri conformemente alla parte tre, titolo IV, capo 2, sezione 3, di tale regolamento </w:t>
            </w:r>
          </w:p>
          <w:p w14:paraId="729400AD" w14:textId="77777777" w:rsidR="001E0C80" w:rsidRPr="004B0EC7" w:rsidRDefault="000B0B09" w:rsidP="00BC0A9B">
            <w:pPr>
              <w:suppressAutoHyphens/>
              <w:autoSpaceDE w:val="0"/>
              <w:autoSpaceDN w:val="0"/>
              <w:adjustRightInd w:val="0"/>
              <w:spacing w:before="0"/>
              <w:rPr>
                <w:rFonts w:ascii="Times New Roman" w:hAnsi="Times New Roman"/>
                <w:sz w:val="24"/>
              </w:rPr>
            </w:pPr>
            <w:r>
              <w:rPr>
                <w:rFonts w:ascii="Times New Roman" w:hAnsi="Times New Roman"/>
                <w:sz w:val="24"/>
              </w:rPr>
              <w:t>Entrambe le ripartizioni (righe 0021/0022 e 0030/0040) riguardano tutte le posizioni soggette al rischio generico.</w:t>
            </w:r>
          </w:p>
          <w:p w14:paraId="32EAD513" w14:textId="77777777" w:rsidR="004E2725"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Nelle righe 0021 e 0022 sono segnalate informazioni relative alla ripartizione per strumenti. </w:t>
            </w:r>
          </w:p>
          <w:p w14:paraId="75FD06DA" w14:textId="77777777" w:rsidR="000B0B09" w:rsidRPr="004B0EC7" w:rsidRDefault="000B0B09" w:rsidP="00BC0A9B">
            <w:pPr>
              <w:tabs>
                <w:tab w:val="left" w:pos="1665"/>
              </w:tabs>
              <w:suppressAutoHyphens/>
              <w:autoSpaceDE w:val="0"/>
              <w:autoSpaceDN w:val="0"/>
              <w:adjustRightInd w:val="0"/>
              <w:rPr>
                <w:rFonts w:ascii="Times New Roman" w:hAnsi="Times New Roman"/>
                <w:sz w:val="24"/>
              </w:rPr>
            </w:pPr>
            <w:r>
              <w:rPr>
                <w:rFonts w:ascii="Times New Roman" w:hAnsi="Times New Roman"/>
                <w:sz w:val="24"/>
              </w:rPr>
              <w:t>Per calcolare i requisiti di fondi propri si fa riferimento unicamente alla ripartizione nelle righe 0030 e 0040.</w:t>
            </w:r>
          </w:p>
        </w:tc>
      </w:tr>
      <w:tr w:rsidR="000B0B09" w:rsidRPr="004B0EC7" w14:paraId="7E2E7066" w14:textId="77777777" w:rsidTr="00672D2A">
        <w:tc>
          <w:tcPr>
            <w:tcW w:w="1008" w:type="dxa"/>
          </w:tcPr>
          <w:p w14:paraId="2A8F2E03"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BC0A9B">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Derivati</w:t>
            </w:r>
          </w:p>
          <w:p w14:paraId="561EFF21" w14:textId="424FAD2D" w:rsidR="000B0B09" w:rsidRPr="004B0EC7" w:rsidRDefault="000B0B09" w:rsidP="00BC0A9B">
            <w:pPr>
              <w:suppressAutoHyphens/>
              <w:autoSpaceDE w:val="0"/>
              <w:autoSpaceDN w:val="0"/>
              <w:adjustRightInd w:val="0"/>
              <w:rPr>
                <w:rFonts w:ascii="Times New Roman" w:hAnsi="Times New Roman"/>
                <w:b/>
                <w:bCs/>
                <w:sz w:val="24"/>
                <w:u w:val="single"/>
              </w:rPr>
            </w:pPr>
            <w:r>
              <w:rPr>
                <w:rFonts w:ascii="Times New Roman" w:hAnsi="Times New Roman"/>
                <w:sz w:val="24"/>
              </w:rPr>
              <w:t>Derivati considerati nel calcolo del rischio di strumenti di capitale di posizioni del portafoglio di negoziazione tenuto conto degli articoli 329 e 332 del regolamento (UE) n. 575/2013, ove applicabili.</w:t>
            </w:r>
          </w:p>
        </w:tc>
      </w:tr>
      <w:tr w:rsidR="000B0B09" w:rsidRPr="004B0EC7" w14:paraId="70CC2A6A" w14:textId="77777777" w:rsidTr="00672D2A">
        <w:tc>
          <w:tcPr>
            <w:tcW w:w="1008" w:type="dxa"/>
          </w:tcPr>
          <w:p w14:paraId="569AE9F8"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BC0A9B">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Altre attività e passività</w:t>
            </w:r>
          </w:p>
          <w:p w14:paraId="21AC79DF" w14:textId="77777777" w:rsidR="000B0B09" w:rsidRPr="004B0EC7" w:rsidRDefault="000B0B09" w:rsidP="00BC0A9B">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Strumenti diversi dai derivati compresi nel calcolo del rischio di strumenti di capitale di posizioni del portafoglio di negoziazione. </w:t>
            </w:r>
          </w:p>
        </w:tc>
      </w:tr>
      <w:tr w:rsidR="000B0B09" w:rsidRPr="004B0EC7" w14:paraId="2ECBC519" w14:textId="77777777" w:rsidTr="00672D2A">
        <w:tc>
          <w:tcPr>
            <w:tcW w:w="1008" w:type="dxa"/>
          </w:tcPr>
          <w:p w14:paraId="63840C82"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Contratti future su indici azionari negoziati in Borsa ampiamente diversificati soggetti a un metodo particolare</w:t>
            </w:r>
          </w:p>
          <w:p w14:paraId="56A22316" w14:textId="77777777" w:rsidR="005C14B0" w:rsidRPr="004B0EC7" w:rsidRDefault="000B0B09" w:rsidP="00BC0A9B">
            <w:pPr>
              <w:tabs>
                <w:tab w:val="left" w:pos="1665"/>
              </w:tabs>
              <w:suppressAutoHyphens/>
              <w:autoSpaceDE w:val="0"/>
              <w:autoSpaceDN w:val="0"/>
              <w:adjustRightInd w:val="0"/>
              <w:rPr>
                <w:rFonts w:ascii="Times New Roman" w:hAnsi="Times New Roman"/>
                <w:sz w:val="24"/>
              </w:rPr>
            </w:pPr>
            <w:r>
              <w:rPr>
                <w:rFonts w:ascii="Times New Roman" w:hAnsi="Times New Roman"/>
                <w:sz w:val="24"/>
              </w:rPr>
              <w:t>Contratti future su indici azionari negoziati in Borsa ampiamente diversificati e soggetti a un metodo particolare conformemente al regolamento di esecuzione (UE) n. 945/2014 della Commissione</w:t>
            </w:r>
            <w:r>
              <w:rPr>
                <w:rStyle w:val="FootnoteReference"/>
              </w:rPr>
              <w:footnoteReference w:id="3"/>
            </w:r>
          </w:p>
          <w:p w14:paraId="2528F1AA" w14:textId="77777777" w:rsidR="000B0B09" w:rsidRPr="004B0EC7" w:rsidRDefault="000B0B09" w:rsidP="00BC0A9B">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lastRenderedPageBreak/>
              <w:t>Queste posizioni sono soggette soltanto al rischio generico e, di conseguenza, non vanno segnalate nella riga 0050.</w:t>
            </w:r>
          </w:p>
        </w:tc>
      </w:tr>
      <w:tr w:rsidR="000B0B09" w:rsidRPr="004B0EC7" w14:paraId="132F7A31" w14:textId="77777777" w:rsidTr="00672D2A">
        <w:tc>
          <w:tcPr>
            <w:tcW w:w="1008" w:type="dxa"/>
          </w:tcPr>
          <w:p w14:paraId="5A552EB7"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diversi dai contratti future su indici azionari negoziati in Borsa ampiamente diversificati</w:t>
            </w:r>
          </w:p>
          <w:p w14:paraId="17542C2D" w14:textId="03E01EF1" w:rsidR="000B0B09" w:rsidRPr="004B0EC7" w:rsidRDefault="000B0B09" w:rsidP="00BC0A9B">
            <w:pPr>
              <w:suppressAutoHyphens/>
              <w:autoSpaceDE w:val="0"/>
              <w:autoSpaceDN w:val="0"/>
              <w:adjustRightInd w:val="0"/>
              <w:rPr>
                <w:rFonts w:ascii="Times New Roman" w:hAnsi="Times New Roman"/>
                <w:sz w:val="24"/>
              </w:rPr>
            </w:pPr>
            <w:r>
              <w:rPr>
                <w:rFonts w:ascii="Times New Roman" w:hAnsi="Times New Roman"/>
                <w:sz w:val="24"/>
              </w:rPr>
              <w:t>Altre posizioni in strumenti di capitale soggette a rischio specifico e relativi requisiti di fondi propri conformemente all</w:t>
            </w:r>
            <w:r w:rsidR="00BC0A9B">
              <w:rPr>
                <w:rFonts w:ascii="Times New Roman" w:hAnsi="Times New Roman"/>
                <w:sz w:val="24"/>
              </w:rPr>
              <w:t>'</w:t>
            </w:r>
            <w:r>
              <w:rPr>
                <w:rFonts w:ascii="Times New Roman" w:hAnsi="Times New Roman"/>
                <w:sz w:val="24"/>
              </w:rPr>
              <w:t>articolo 343 del regolamento (UE) n.</w:t>
            </w:r>
            <w:r w:rsidR="00BC0A9B">
              <w:rPr>
                <w:rFonts w:ascii="Times New Roman" w:hAnsi="Times New Roman"/>
                <w:sz w:val="24"/>
              </w:rPr>
              <w:t> </w:t>
            </w:r>
            <w:r>
              <w:rPr>
                <w:rFonts w:ascii="Times New Roman" w:hAnsi="Times New Roman"/>
                <w:sz w:val="24"/>
              </w:rPr>
              <w:t>575/2013, comprese le posizioni in contratti future su indici azionari trattate conformemente all</w:t>
            </w:r>
            <w:r w:rsidR="00BC0A9B">
              <w:rPr>
                <w:rFonts w:ascii="Times New Roman" w:hAnsi="Times New Roman"/>
                <w:sz w:val="24"/>
              </w:rPr>
              <w:t>'</w:t>
            </w:r>
            <w:r>
              <w:rPr>
                <w:rFonts w:ascii="Times New Roman" w:hAnsi="Times New Roman"/>
                <w:sz w:val="24"/>
              </w:rPr>
              <w:t>articolo 344, paragrafo 3, di tale regolamento.</w:t>
            </w:r>
          </w:p>
        </w:tc>
      </w:tr>
      <w:tr w:rsidR="000B0B09" w:rsidRPr="004B0EC7" w14:paraId="10C7ACD9" w14:textId="77777777" w:rsidTr="00672D2A">
        <w:tc>
          <w:tcPr>
            <w:tcW w:w="1008" w:type="dxa"/>
          </w:tcPr>
          <w:p w14:paraId="1F6F53FD"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SPECIFICO</w:t>
            </w:r>
          </w:p>
          <w:p w14:paraId="4CFFEA2D" w14:textId="7A15FDC1" w:rsidR="000B0B09" w:rsidRPr="004B0EC7" w:rsidRDefault="000B0B09" w:rsidP="00BC0A9B">
            <w:pPr>
              <w:suppressAutoHyphens/>
              <w:autoSpaceDE w:val="0"/>
              <w:autoSpaceDN w:val="0"/>
              <w:adjustRightInd w:val="0"/>
              <w:rPr>
                <w:rFonts w:ascii="Times New Roman" w:hAnsi="Times New Roman"/>
                <w:sz w:val="24"/>
              </w:rPr>
            </w:pPr>
            <w:r>
              <w:rPr>
                <w:rFonts w:ascii="Times New Roman" w:hAnsi="Times New Roman"/>
                <w:sz w:val="24"/>
              </w:rPr>
              <w:t>Posizioni in strumenti di capitale soggette a rischio specifico e relativo requisito di fondi propri conformemente all</w:t>
            </w:r>
            <w:r w:rsidR="00BC0A9B">
              <w:rPr>
                <w:rFonts w:ascii="Times New Roman" w:hAnsi="Times New Roman"/>
                <w:sz w:val="24"/>
              </w:rPr>
              <w:t>'</w:t>
            </w:r>
            <w:r>
              <w:rPr>
                <w:rFonts w:ascii="Times New Roman" w:hAnsi="Times New Roman"/>
                <w:sz w:val="24"/>
              </w:rPr>
              <w:t>articolo 342 del regolamento (UE) n. 575/2013, escluse le posizioni in contratti future su indici azionari trattate conformemente all</w:t>
            </w:r>
            <w:r w:rsidR="00BC0A9B">
              <w:rPr>
                <w:rFonts w:ascii="Times New Roman" w:hAnsi="Times New Roman"/>
                <w:sz w:val="24"/>
              </w:rPr>
              <w:t>'</w:t>
            </w:r>
            <w:r>
              <w:rPr>
                <w:rFonts w:ascii="Times New Roman" w:hAnsi="Times New Roman"/>
                <w:sz w:val="24"/>
              </w:rPr>
              <w:t xml:space="preserve">articolo 344, paragrafo 4, seconda frase, di tale regolamento. </w:t>
            </w:r>
          </w:p>
        </w:tc>
      </w:tr>
      <w:tr w:rsidR="000B0B09" w:rsidRPr="004B0EC7" w14:paraId="63780725" w14:textId="77777777" w:rsidTr="00672D2A">
        <w:tc>
          <w:tcPr>
            <w:tcW w:w="1008" w:type="dxa"/>
          </w:tcPr>
          <w:p w14:paraId="573EB4E8"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14:paraId="2552C107" w14:textId="2AD28847" w:rsidR="000B0B09" w:rsidRPr="004B0EC7" w:rsidRDefault="00F2521E" w:rsidP="00BC0A9B">
            <w:pPr>
              <w:suppressAutoHyphens/>
              <w:autoSpaceDE w:val="0"/>
              <w:autoSpaceDN w:val="0"/>
              <w:adjustRightInd w:val="0"/>
              <w:rPr>
                <w:rFonts w:ascii="Times New Roman" w:hAnsi="Times New Roman"/>
                <w:sz w:val="24"/>
              </w:rPr>
            </w:pPr>
            <w:r>
              <w:rPr>
                <w:rFonts w:ascii="Times New Roman" w:hAnsi="Times New Roman"/>
                <w:sz w:val="24"/>
              </w:rPr>
              <w:t xml:space="preserve">Articolo 329, paragrafi 2 e 3, del regolamento (UE) n. 575/2013 </w:t>
            </w:r>
          </w:p>
          <w:p w14:paraId="72C3FAC3" w14:textId="7777777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I requisiti aggiuntivi per le opzioni correlate a rischi diversi dal rischio delta sono segnalati nel metodo utilizzato per il relativo calcolo.</w:t>
            </w:r>
          </w:p>
        </w:tc>
      </w:tr>
    </w:tbl>
    <w:p w14:paraId="0EB6FD79" w14:textId="77777777" w:rsidR="000B0B09" w:rsidRPr="002D6CC5" w:rsidRDefault="000B0B09" w:rsidP="00BC0A9B">
      <w:pPr>
        <w:suppressAutoHyphens/>
        <w:autoSpaceDE w:val="0"/>
        <w:autoSpaceDN w:val="0"/>
        <w:adjustRightInd w:val="0"/>
        <w:spacing w:before="0" w:after="0"/>
        <w:rPr>
          <w:rFonts w:ascii="Times New Roman" w:hAnsi="Times New Roman"/>
          <w:bCs/>
          <w:szCs w:val="20"/>
          <w:lang w:eastAsia="nl-BE"/>
        </w:rPr>
      </w:pPr>
    </w:p>
    <w:p w14:paraId="1D26B512" w14:textId="46B21F7D"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rsidRPr="002D6CC5">
        <w:rPr>
          <w:u w:val="none"/>
        </w:rPr>
        <w:tab/>
      </w:r>
      <w:r>
        <w:rPr>
          <w:rFonts w:ascii="Times New Roman" w:hAnsi="Times New Roman"/>
          <w:sz w:val="24"/>
        </w:rPr>
        <w:t>C 22.01 - Rischio di mercato: metodo standardizzato semplificato per il rischio di cambio</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rsidRPr="00AC0A4B">
        <w:rPr>
          <w:rFonts w:ascii="Times New Roman" w:hAnsi="Times New Roman"/>
          <w:sz w:val="24"/>
          <w:u w:val="none"/>
        </w:rPr>
        <w:t>.</w:t>
      </w:r>
      <w:r w:rsidRPr="00AC0A4B">
        <w:rPr>
          <w:rFonts w:ascii="Times New Roman" w:hAnsi="Times New Roman"/>
          <w:sz w:val="24"/>
          <w:u w:val="none"/>
        </w:rPr>
        <w:tab/>
      </w:r>
      <w:r>
        <w:rPr>
          <w:rFonts w:ascii="Times New Roman" w:hAnsi="Times New Roman"/>
          <w:sz w:val="24"/>
        </w:rPr>
        <w:t>Osservazioni di carattere generale</w:t>
      </w:r>
      <w:bookmarkEnd w:id="110"/>
      <w:bookmarkEnd w:id="111"/>
      <w:bookmarkEnd w:id="112"/>
      <w:bookmarkEnd w:id="113"/>
      <w:bookmarkEnd w:id="114"/>
      <w:bookmarkEnd w:id="115"/>
      <w:bookmarkEnd w:id="116"/>
    </w:p>
    <w:p w14:paraId="3B4750B2" w14:textId="02743EBE" w:rsidR="00F71DF2"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171</w:t>
      </w:r>
      <w:r>
        <w:fldChar w:fldCharType="end"/>
      </w:r>
      <w:r>
        <w:t>. Gli enti segnalano informazioni sulle posizioni in ciascuna valuta (compresa la valuta utilizzata per le segnalazioni) e i relativi requisiti di fondi propri per il rischio di cambio, trattati secondo il metodo standardizzato. La posizione è calcolata per ciascuna valuta (compreso l</w:t>
      </w:r>
      <w:r w:rsidR="00BC0A9B">
        <w:t>'</w:t>
      </w:r>
      <w:r>
        <w:t>EUR), l</w:t>
      </w:r>
      <w:r w:rsidR="00BC0A9B">
        <w:t>'</w:t>
      </w:r>
      <w:r>
        <w:t>oro e le posizioni in quote di OIC.</w:t>
      </w:r>
    </w:p>
    <w:p w14:paraId="39EF826C" w14:textId="65A2E105" w:rsidR="000B0B09"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172</w:t>
      </w:r>
      <w:r>
        <w:fldChar w:fldCharType="end"/>
      </w:r>
      <w:r>
        <w:t>.</w:t>
      </w:r>
      <w:r>
        <w:tab/>
        <w:t xml:space="preserve"> Le righe da 0100 a 0480 di questo modello sono compilate anche se gli enti non sono tenuti a calcolare i requisiti di fondi propri per il rischio di cambio a norma dell</w:t>
      </w:r>
      <w:r w:rsidR="00BC0A9B">
        <w:t>'</w:t>
      </w:r>
      <w:r>
        <w:t>articolo 351 del regolamento (UE) n. 575/2013. In tali voci per memoria sono incluse tutte le posizioni nella valuta utilizzata per le segnalazioni, a prescindere dal fatto che esse siano o meno considerate ai fini dell</w:t>
      </w:r>
      <w:r w:rsidR="00BC0A9B">
        <w:t>'</w:t>
      </w:r>
      <w:r>
        <w:t>articolo 354 del regolamento (UE) n. 575/2013. Le righe da 0130 a 0480 delle voci per memoria del modello sono compilate separatamente per tutte le valute degli Stati membri dell</w:t>
      </w:r>
      <w:r w:rsidR="00BC0A9B">
        <w:t>'</w:t>
      </w:r>
      <w:r>
        <w:t>Unione, per le valute seguenti: GBP, USD, CHF, JPY, RUB, TRY, AUD, CAD, RSD, ALL, UAH, MKD, EGP, ARS, BRL, MXN, HKD, ICK, TWD, NZD, NOK, SGD, KRW, CNY, nonché per tutte le altre valute.</w:t>
      </w:r>
    </w:p>
    <w:p w14:paraId="346B4732" w14:textId="273354B2"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rsidRPr="002D6CC5">
        <w:rPr>
          <w:u w:val="none"/>
        </w:rPr>
        <w:tab/>
      </w:r>
      <w:r>
        <w:rPr>
          <w:rFonts w:ascii="Times New Roman" w:hAnsi="Times New Roman"/>
          <w:sz w:val="24"/>
        </w:rPr>
        <w:t>Istruzioni relative a posizioni specifiche</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2D6CC5">
        <w:trPr>
          <w:trHeight w:val="486"/>
        </w:trPr>
        <w:tc>
          <w:tcPr>
            <w:tcW w:w="8862" w:type="dxa"/>
            <w:gridSpan w:val="2"/>
            <w:shd w:val="clear" w:color="auto" w:fill="CCCCCC"/>
          </w:tcPr>
          <w:p w14:paraId="12971A77" w14:textId="77777777" w:rsidR="000B0B09" w:rsidRPr="004B0EC7" w:rsidRDefault="000B0B09"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4B0EC7" w14:paraId="159B4B41" w14:textId="77777777" w:rsidTr="00672D2A">
        <w:tc>
          <w:tcPr>
            <w:tcW w:w="988" w:type="dxa"/>
          </w:tcPr>
          <w:p w14:paraId="0ABA9E21"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21CD6173"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p w14:paraId="5F204D98" w14:textId="64050C13" w:rsidR="005C14B0" w:rsidRPr="004B0EC7" w:rsidRDefault="000B0B09" w:rsidP="00BC0A9B">
            <w:pPr>
              <w:suppressAutoHyphens/>
              <w:autoSpaceDE w:val="0"/>
              <w:autoSpaceDN w:val="0"/>
              <w:adjustRightInd w:val="0"/>
              <w:spacing w:before="0"/>
              <w:rPr>
                <w:rFonts w:ascii="Times New Roman" w:hAnsi="Times New Roman"/>
                <w:sz w:val="24"/>
              </w:rPr>
            </w:pPr>
            <w:r>
              <w:rPr>
                <w:rFonts w:ascii="Times New Roman" w:hAnsi="Times New Roman"/>
                <w:sz w:val="24"/>
              </w:rPr>
              <w:t>Posizioni lorde dovute ad attività, importi da ricevere ed elementi analoghi di cui all</w:t>
            </w:r>
            <w:r w:rsidR="00BC0A9B">
              <w:rPr>
                <w:rFonts w:ascii="Times New Roman" w:hAnsi="Times New Roman"/>
                <w:sz w:val="24"/>
              </w:rPr>
              <w:t>'</w:t>
            </w:r>
            <w:r>
              <w:rPr>
                <w:rFonts w:ascii="Times New Roman" w:hAnsi="Times New Roman"/>
                <w:sz w:val="24"/>
              </w:rPr>
              <w:t>articolo 352, paragrafo 1, del regolamento (UE) n. 575/2013.</w:t>
            </w:r>
          </w:p>
          <w:p w14:paraId="754DB1BB" w14:textId="7CE4D36E" w:rsidR="000B0B09" w:rsidRPr="004B0EC7" w:rsidRDefault="00BB22D4"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A norma dell</w:t>
            </w:r>
            <w:r w:rsidR="00BC0A9B">
              <w:rPr>
                <w:rFonts w:ascii="Times New Roman" w:hAnsi="Times New Roman"/>
                <w:sz w:val="24"/>
              </w:rPr>
              <w:t>'</w:t>
            </w:r>
            <w:r>
              <w:rPr>
                <w:rFonts w:ascii="Times New Roman" w:hAnsi="Times New Roman"/>
                <w:sz w:val="24"/>
              </w:rPr>
              <w:t>articolo 352, paragrafo 2, del regolamento (UE) n. 575/2013, e previa autorizzazione delle autorità competenti, non sono segnalate le posizioni che un ente detiene al fine specifico di salvaguardarsi dagli effetti negativi dei tassi di cambio sui suoi coefficienti conformemente all</w:t>
            </w:r>
            <w:r w:rsidR="00BC0A9B">
              <w:rPr>
                <w:rFonts w:ascii="Times New Roman" w:hAnsi="Times New Roman"/>
                <w:sz w:val="24"/>
              </w:rPr>
              <w:t>'</w:t>
            </w:r>
            <w:r>
              <w:rPr>
                <w:rFonts w:ascii="Times New Roman" w:hAnsi="Times New Roman"/>
                <w:sz w:val="24"/>
              </w:rPr>
              <w:t>articolo 92, paragrafo 1, di tale regolamento, e le posizioni relative agli elementi che sono già dedotti nel calcolo dei fondi propri.</w:t>
            </w:r>
          </w:p>
          <w:p w14:paraId="40A85A41"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4B0EC7" w:rsidRDefault="000B0B09"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POSIZIONI NETTE (LUNGHE E CORTE)</w:t>
            </w:r>
          </w:p>
          <w:p w14:paraId="5D5BCFBB"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263D2EB9" w14:textId="2236AC59" w:rsidR="00283B5F" w:rsidRPr="004B0EC7" w:rsidRDefault="000B0B09" w:rsidP="00BC0A9B">
            <w:pPr>
              <w:suppressAutoHyphens/>
              <w:autoSpaceDE w:val="0"/>
              <w:autoSpaceDN w:val="0"/>
              <w:adjustRightInd w:val="0"/>
              <w:spacing w:before="0"/>
              <w:rPr>
                <w:rFonts w:ascii="Times New Roman" w:hAnsi="Times New Roman"/>
                <w:sz w:val="24"/>
              </w:rPr>
            </w:pPr>
            <w:r>
              <w:rPr>
                <w:rFonts w:ascii="Times New Roman" w:hAnsi="Times New Roman"/>
                <w:sz w:val="24"/>
              </w:rPr>
              <w:t>Articolo 352, paragrafo 3, articolo 352, paragrafo 4, prime due frasi, e articolo</w:t>
            </w:r>
            <w:r w:rsidR="00BC0A9B">
              <w:rPr>
                <w:rFonts w:ascii="Times New Roman" w:hAnsi="Times New Roman"/>
                <w:sz w:val="24"/>
              </w:rPr>
              <w:t> </w:t>
            </w:r>
            <w:r>
              <w:rPr>
                <w:rFonts w:ascii="Times New Roman" w:hAnsi="Times New Roman"/>
                <w:sz w:val="24"/>
              </w:rPr>
              <w:t>353 del regolamento (UE) n. 575/2013</w:t>
            </w:r>
          </w:p>
          <w:p w14:paraId="1436375E" w14:textId="308ACF85"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Le posizioni nette sono calcolate per ciascuna valuta conformemente all</w:t>
            </w:r>
            <w:r w:rsidR="00BC0A9B">
              <w:rPr>
                <w:rFonts w:ascii="Times New Roman" w:hAnsi="Times New Roman"/>
                <w:sz w:val="24"/>
              </w:rPr>
              <w:t>'</w:t>
            </w:r>
            <w:r>
              <w:rPr>
                <w:rFonts w:ascii="Times New Roman" w:hAnsi="Times New Roman"/>
                <w:sz w:val="24"/>
              </w:rPr>
              <w:t>articolo</w:t>
            </w:r>
            <w:r w:rsidR="00BC0A9B">
              <w:rPr>
                <w:rFonts w:ascii="Times New Roman" w:hAnsi="Times New Roman"/>
                <w:sz w:val="24"/>
              </w:rPr>
              <w:t> </w:t>
            </w:r>
            <w:r>
              <w:rPr>
                <w:rFonts w:ascii="Times New Roman" w:hAnsi="Times New Roman"/>
                <w:sz w:val="24"/>
              </w:rPr>
              <w:t>352, paragrafo 1, del regolamento (UE) n.</w:t>
            </w:r>
            <w:r w:rsidR="00BC0A9B">
              <w:rPr>
                <w:rFonts w:ascii="Times New Roman" w:hAnsi="Times New Roman"/>
                <w:sz w:val="24"/>
              </w:rPr>
              <w:t> </w:t>
            </w:r>
            <w:r>
              <w:rPr>
                <w:rFonts w:ascii="Times New Roman" w:hAnsi="Times New Roman"/>
                <w:sz w:val="24"/>
              </w:rPr>
              <w:t>575/2013. Di</w:t>
            </w:r>
            <w:r w:rsidR="00BC0A9B">
              <w:rPr>
                <w:rFonts w:ascii="Times New Roman" w:hAnsi="Times New Roman"/>
                <w:sz w:val="24"/>
              </w:rPr>
              <w:t> </w:t>
            </w:r>
            <w:r>
              <w:rPr>
                <w:rFonts w:ascii="Times New Roman" w:hAnsi="Times New Roman"/>
                <w:sz w:val="24"/>
              </w:rPr>
              <w:t>conseguenza,</w:t>
            </w:r>
            <w:r w:rsidR="00BC0A9B">
              <w:rPr>
                <w:rFonts w:ascii="Times New Roman" w:hAnsi="Times New Roman"/>
                <w:sz w:val="24"/>
              </w:rPr>
              <w:t> </w:t>
            </w:r>
            <w:r>
              <w:rPr>
                <w:rFonts w:ascii="Times New Roman" w:hAnsi="Times New Roman"/>
                <w:sz w:val="24"/>
              </w:rPr>
              <w:t>le posizioni lunghe e le posizioni corte possono essere segnalate contemporaneamente.</w:t>
            </w:r>
          </w:p>
          <w:p w14:paraId="7EF6C18C"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4B0EC7" w:rsidRDefault="000B0B09"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POSIZIONI SOGGETTE A COPERTURA PATRIMONIALE</w:t>
            </w:r>
          </w:p>
          <w:p w14:paraId="536B2115"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352, paragrafo 4, terza frase, e articoli 353 e 354 del regolamento (UE) n. 575/2013 </w:t>
            </w:r>
          </w:p>
          <w:p w14:paraId="091C4CE9"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2D6CC5">
            <w:pPr>
              <w:suppressAutoHyphens/>
              <w:autoSpaceDE w:val="0"/>
              <w:autoSpaceDN w:val="0"/>
              <w:adjustRightInd w:val="0"/>
              <w:spacing w:before="40" w:after="0"/>
              <w:rPr>
                <w:rFonts w:ascii="Times New Roman" w:hAnsi="Times New Roman"/>
                <w:sz w:val="24"/>
              </w:rPr>
            </w:pPr>
            <w:r>
              <w:rPr>
                <w:rFonts w:ascii="Times New Roman" w:hAnsi="Times New Roman"/>
                <w:b/>
                <w:sz w:val="24"/>
                <w:u w:val="single"/>
              </w:rPr>
              <w:t>POSIZIONI SOGGETTE A COPERTURA PATRIMONIALE (LUNGHE E CORTE)</w:t>
            </w:r>
          </w:p>
          <w:p w14:paraId="1CA17503" w14:textId="77777777" w:rsidR="000B0B09" w:rsidRPr="004B0EC7" w:rsidRDefault="000B0B09" w:rsidP="00BC0A9B">
            <w:pPr>
              <w:suppressAutoHyphens/>
              <w:autoSpaceDE w:val="0"/>
              <w:autoSpaceDN w:val="0"/>
              <w:adjustRightInd w:val="0"/>
              <w:spacing w:after="0"/>
              <w:rPr>
                <w:rFonts w:ascii="Times New Roman" w:hAnsi="Times New Roman"/>
                <w:sz w:val="24"/>
              </w:rPr>
            </w:pPr>
            <w:r>
              <w:rPr>
                <w:rFonts w:ascii="Times New Roman" w:hAnsi="Times New Roman"/>
                <w:sz w:val="24"/>
              </w:rPr>
              <w:t>Le posizioni nette lunghe e corte di ciascuna valuta sono calcolate deducendo il totale delle posizioni corte dal totale delle posizioni lunghe.</w:t>
            </w:r>
          </w:p>
          <w:p w14:paraId="7912A4F1" w14:textId="77777777" w:rsidR="000B0B09" w:rsidRPr="004B0EC7" w:rsidRDefault="000B0B09" w:rsidP="00BC0A9B">
            <w:pPr>
              <w:suppressAutoHyphens/>
              <w:autoSpaceDE w:val="0"/>
              <w:autoSpaceDN w:val="0"/>
              <w:adjustRightInd w:val="0"/>
              <w:spacing w:after="0"/>
              <w:rPr>
                <w:rFonts w:ascii="Times New Roman" w:hAnsi="Times New Roman"/>
                <w:sz w:val="24"/>
              </w:rPr>
            </w:pPr>
            <w:r>
              <w:rPr>
                <w:rFonts w:ascii="Times New Roman" w:hAnsi="Times New Roman"/>
                <w:sz w:val="24"/>
              </w:rPr>
              <w:t>Si sommano le posizioni nette lunghe di ciascuna operazione in una valuta per ottenere la posizione netta lunga in quella data valuta.</w:t>
            </w:r>
          </w:p>
          <w:p w14:paraId="5B4E9BDF" w14:textId="77777777" w:rsidR="000B0B09" w:rsidRPr="004B0EC7" w:rsidRDefault="000B0B09" w:rsidP="00BC0A9B">
            <w:pPr>
              <w:suppressAutoHyphens/>
              <w:autoSpaceDE w:val="0"/>
              <w:autoSpaceDN w:val="0"/>
              <w:adjustRightInd w:val="0"/>
              <w:spacing w:after="0"/>
              <w:rPr>
                <w:rFonts w:ascii="Times New Roman" w:hAnsi="Times New Roman"/>
                <w:sz w:val="24"/>
              </w:rPr>
            </w:pPr>
            <w:r>
              <w:rPr>
                <w:rFonts w:ascii="Times New Roman" w:hAnsi="Times New Roman"/>
                <w:sz w:val="24"/>
              </w:rPr>
              <w:t>Si sommano le posizioni nette corte di ciascuna operazione in una valuta per ottenere la posizione netta corta in quella data valuta.</w:t>
            </w:r>
          </w:p>
          <w:p w14:paraId="71BEB09F" w14:textId="5C304290" w:rsidR="000B0B09" w:rsidRPr="004B0EC7" w:rsidRDefault="000B0B09" w:rsidP="00BC0A9B">
            <w:pPr>
              <w:suppressAutoHyphens/>
              <w:autoSpaceDE w:val="0"/>
              <w:autoSpaceDN w:val="0"/>
              <w:adjustRightInd w:val="0"/>
              <w:spacing w:after="0"/>
              <w:rPr>
                <w:rFonts w:ascii="Times New Roman" w:hAnsi="Times New Roman"/>
                <w:sz w:val="24"/>
              </w:rPr>
            </w:pPr>
            <w:r>
              <w:rPr>
                <w:rFonts w:ascii="Times New Roman" w:hAnsi="Times New Roman"/>
                <w:sz w:val="24"/>
              </w:rPr>
              <w:t>Le posizioni non compensate nelle valute non utilizzate per le segnalazioni sono aggiunte alle posizioni soggette a copertura patrimoniale per altre valute (riga</w:t>
            </w:r>
            <w:r w:rsidR="00BC0A9B">
              <w:rPr>
                <w:rFonts w:ascii="Times New Roman" w:hAnsi="Times New Roman"/>
                <w:sz w:val="24"/>
              </w:rPr>
              <w:t> </w:t>
            </w:r>
            <w:r>
              <w:rPr>
                <w:rFonts w:ascii="Times New Roman" w:hAnsi="Times New Roman"/>
                <w:sz w:val="24"/>
              </w:rPr>
              <w:t>030) nella colonna 060 o 070 a seconda del regolamento a breve o lungo termine.</w:t>
            </w:r>
          </w:p>
          <w:p w14:paraId="3B8AB235" w14:textId="77777777" w:rsidR="00DE48EF" w:rsidRPr="004B0EC7" w:rsidRDefault="00DE48EF"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 (COMPENSATE)</w:t>
            </w:r>
          </w:p>
          <w:p w14:paraId="1787EA62"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compensate per valute strettamente correlate.</w:t>
            </w:r>
          </w:p>
          <w:p w14:paraId="6BC8E676"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289C427C"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 PRIMA DELL</w:t>
            </w:r>
            <w:r w:rsidR="00BC0A9B">
              <w:rPr>
                <w:rFonts w:ascii="Times New Roman" w:hAnsi="Times New Roman"/>
                <w:b/>
                <w:sz w:val="24"/>
                <w:u w:val="single"/>
              </w:rPr>
              <w:t>'</w:t>
            </w:r>
            <w:r>
              <w:rPr>
                <w:rFonts w:ascii="Times New Roman" w:hAnsi="Times New Roman"/>
                <w:b/>
                <w:sz w:val="24"/>
                <w:u w:val="single"/>
              </w:rPr>
              <w:t>APPLICAZIONE DEI FATTORI DI GRADUAZIONE</w:t>
            </w:r>
          </w:p>
          <w:p w14:paraId="4108E694"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0D828234" w14:textId="190A44AA"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Il requisito di fondi propri per qualsiasi posizione pertinente conformemente alla parte tre, titolo IV, capo 3, del regolamento (UE) n.</w:t>
            </w:r>
            <w:r w:rsidR="002D6CC5">
              <w:rPr>
                <w:rFonts w:ascii="Times New Roman" w:hAnsi="Times New Roman"/>
                <w:sz w:val="24"/>
              </w:rPr>
              <w:t> </w:t>
            </w:r>
            <w:r>
              <w:rPr>
                <w:rFonts w:ascii="Times New Roman" w:hAnsi="Times New Roman"/>
                <w:sz w:val="24"/>
              </w:rPr>
              <w:t>575/2013, prima dell</w:t>
            </w:r>
            <w:r w:rsidR="00BC0A9B">
              <w:rPr>
                <w:rFonts w:ascii="Times New Roman" w:hAnsi="Times New Roman"/>
                <w:sz w:val="24"/>
              </w:rPr>
              <w:t>'</w:t>
            </w:r>
            <w:r>
              <w:rPr>
                <w:rFonts w:ascii="Times New Roman" w:hAnsi="Times New Roman"/>
                <w:sz w:val="24"/>
              </w:rPr>
              <w:t>applicazione del fattore di graduazione di cui all</w:t>
            </w:r>
            <w:r w:rsidR="00BC0A9B">
              <w:rPr>
                <w:rFonts w:ascii="Times New Roman" w:hAnsi="Times New Roman"/>
                <w:sz w:val="24"/>
              </w:rPr>
              <w:t>'</w:t>
            </w:r>
            <w:r>
              <w:rPr>
                <w:rFonts w:ascii="Times New Roman" w:hAnsi="Times New Roman"/>
                <w:sz w:val="24"/>
              </w:rPr>
              <w:t xml:space="preserve">articolo 325, paragrafo 2, lettera b), di tale regolamento. </w:t>
            </w:r>
          </w:p>
          <w:p w14:paraId="62C9AE79"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4" w:type="dxa"/>
          </w:tcPr>
          <w:p w14:paraId="0647EAC0" w14:textId="2E6849AC" w:rsidR="000B0B09" w:rsidRPr="004B0EC7" w:rsidRDefault="000B0B09" w:rsidP="00BC0A9B">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BC0A9B">
              <w:rPr>
                <w:rFonts w:ascii="Times New Roman" w:hAnsi="Times New Roman"/>
                <w:b/>
                <w:sz w:val="24"/>
                <w:u w:val="single"/>
              </w:rPr>
              <w:t>'</w:t>
            </w:r>
            <w:r>
              <w:rPr>
                <w:rFonts w:ascii="Times New Roman" w:hAnsi="Times New Roman"/>
                <w:b/>
                <w:sz w:val="24"/>
                <w:u w:val="single"/>
              </w:rPr>
              <w:t>ESPOSIZIONE AL RISCHIO</w:t>
            </w:r>
          </w:p>
          <w:p w14:paraId="1005789B" w14:textId="77777777" w:rsidR="000B0B09" w:rsidRPr="004B0EC7" w:rsidRDefault="000B0B09" w:rsidP="00BC0A9B">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BC0A9B">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Articolo 92, paragrafo 4, lettera c), del regolamento (UE) n. 575/2013.</w:t>
            </w:r>
          </w:p>
          <w:p w14:paraId="74C1A53D" w14:textId="58043E1C" w:rsidR="000B0B09" w:rsidRPr="004B0EC7" w:rsidRDefault="000B0B09" w:rsidP="00BC0A9B">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Risultato della moltiplicazione dei requisiti di fondi propri per 12,5 conformemente all</w:t>
            </w:r>
            <w:r w:rsidR="00BC0A9B">
              <w:rPr>
                <w:rFonts w:ascii="Times New Roman" w:hAnsi="Times New Roman"/>
                <w:sz w:val="24"/>
              </w:rPr>
              <w:t>'</w:t>
            </w:r>
            <w:r>
              <w:rPr>
                <w:rFonts w:ascii="Times New Roman" w:hAnsi="Times New Roman"/>
                <w:sz w:val="24"/>
              </w:rPr>
              <w:t>articolo 92, paragrafo 6, lettera b), del regolamento (UE) n.</w:t>
            </w:r>
            <w:r w:rsidR="00BC0A9B">
              <w:rPr>
                <w:rFonts w:ascii="Times New Roman" w:hAnsi="Times New Roman"/>
                <w:sz w:val="24"/>
              </w:rPr>
              <w:t> </w:t>
            </w:r>
            <w:r>
              <w:rPr>
                <w:rFonts w:ascii="Times New Roman" w:hAnsi="Times New Roman"/>
                <w:sz w:val="24"/>
              </w:rPr>
              <w:t>575/2013 e per il fattore di graduazione conformemente all</w:t>
            </w:r>
            <w:r w:rsidR="00BC0A9B">
              <w:rPr>
                <w:rFonts w:ascii="Times New Roman" w:hAnsi="Times New Roman"/>
                <w:sz w:val="24"/>
              </w:rPr>
              <w:t>'</w:t>
            </w:r>
            <w:r>
              <w:rPr>
                <w:rFonts w:ascii="Times New Roman" w:hAnsi="Times New Roman"/>
                <w:sz w:val="24"/>
              </w:rPr>
              <w:t xml:space="preserve">articolo 325, paragrafo 2, lettera b), di tale regolamento. </w:t>
            </w:r>
          </w:p>
          <w:p w14:paraId="43ECFCA3" w14:textId="77777777" w:rsidR="00DE48EF" w:rsidRPr="004B0EC7" w:rsidRDefault="00DE48EF" w:rsidP="00BC0A9B">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BC0A9B">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4B0EC7" w14:paraId="7E8F93AD" w14:textId="77777777" w:rsidTr="00672D2A">
        <w:tc>
          <w:tcPr>
            <w:tcW w:w="991" w:type="dxa"/>
          </w:tcPr>
          <w:p w14:paraId="308DA059"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TOTALI</w:t>
            </w:r>
          </w:p>
          <w:p w14:paraId="625A8F91"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p w14:paraId="474297D9" w14:textId="2AC18FC3" w:rsidR="000B0B09" w:rsidRPr="004B0EC7" w:rsidRDefault="00491F4D"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Tutte le posizioni nelle valute non utilizzate per le segnalazioni e le posizioni nella valuta utilizzata per le segnalazioni che sono considerate ai fini dell</w:t>
            </w:r>
            <w:r w:rsidR="00BC0A9B">
              <w:rPr>
                <w:rFonts w:ascii="Times New Roman" w:hAnsi="Times New Roman"/>
                <w:sz w:val="24"/>
              </w:rPr>
              <w:t>'</w:t>
            </w:r>
            <w:r>
              <w:rPr>
                <w:rFonts w:ascii="Times New Roman" w:hAnsi="Times New Roman"/>
                <w:sz w:val="24"/>
              </w:rPr>
              <w:t>articolo</w:t>
            </w:r>
            <w:r w:rsidR="00BC0A9B">
              <w:rPr>
                <w:rFonts w:ascii="Times New Roman" w:hAnsi="Times New Roman"/>
                <w:sz w:val="24"/>
              </w:rPr>
              <w:t> </w:t>
            </w:r>
            <w:r>
              <w:rPr>
                <w:rFonts w:ascii="Times New Roman" w:hAnsi="Times New Roman"/>
                <w:sz w:val="24"/>
              </w:rPr>
              <w:t>354 del regolamento (UE) n. 575/2013 e i relativi requisiti di fondi propri per il rischio di cambio di cui all</w:t>
            </w:r>
            <w:r w:rsidR="00BC0A9B">
              <w:rPr>
                <w:rFonts w:ascii="Times New Roman" w:hAnsi="Times New Roman"/>
                <w:sz w:val="24"/>
              </w:rPr>
              <w:t>'</w:t>
            </w:r>
            <w:r>
              <w:rPr>
                <w:rFonts w:ascii="Times New Roman" w:hAnsi="Times New Roman"/>
                <w:sz w:val="24"/>
              </w:rPr>
              <w:t>articolo 92, paragrafo 4, lettera c), tenendo conto dell</w:t>
            </w:r>
            <w:r w:rsidR="00BC0A9B">
              <w:rPr>
                <w:rFonts w:ascii="Times New Roman" w:hAnsi="Times New Roman"/>
                <w:sz w:val="24"/>
              </w:rPr>
              <w:t>'</w:t>
            </w:r>
            <w:r>
              <w:rPr>
                <w:rFonts w:ascii="Times New Roman" w:hAnsi="Times New Roman"/>
                <w:sz w:val="24"/>
              </w:rPr>
              <w:t>articolo 352, paragrafi 2 e 4, del regolamento (UE) n.</w:t>
            </w:r>
            <w:r w:rsidR="00BC0A9B">
              <w:rPr>
                <w:rFonts w:ascii="Times New Roman" w:hAnsi="Times New Roman"/>
                <w:sz w:val="24"/>
              </w:rPr>
              <w:t> </w:t>
            </w:r>
            <w:r>
              <w:rPr>
                <w:rFonts w:ascii="Times New Roman" w:hAnsi="Times New Roman"/>
                <w:sz w:val="24"/>
              </w:rPr>
              <w:t>575/2013 (per conversione nella valuta utilizzata per le segnalazioni).</w:t>
            </w:r>
          </w:p>
          <w:p w14:paraId="60C8486E"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VALUTE STRETTAMENTE CORRELATE</w:t>
            </w:r>
          </w:p>
          <w:p w14:paraId="784B138D"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7339F996" w14:textId="318FAF50"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strettamente correlate di cui all</w:t>
            </w:r>
            <w:r w:rsidR="00BC0A9B">
              <w:rPr>
                <w:rFonts w:ascii="Times New Roman" w:hAnsi="Times New Roman"/>
                <w:sz w:val="24"/>
              </w:rPr>
              <w:t>'</w:t>
            </w:r>
            <w:r>
              <w:rPr>
                <w:rFonts w:ascii="Times New Roman" w:hAnsi="Times New Roman"/>
                <w:sz w:val="24"/>
              </w:rPr>
              <w:t>articolo 354 del regolamento (UE) n. 575/2013.</w:t>
            </w:r>
          </w:p>
          <w:p w14:paraId="1228E8F4"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Valute strettamente correlate: </w:t>
            </w:r>
            <w:r>
              <w:rPr>
                <w:rFonts w:ascii="Times New Roman" w:hAnsi="Times New Roman"/>
                <w:b/>
                <w:i/>
                <w:sz w:val="24"/>
                <w:u w:val="single"/>
              </w:rPr>
              <w:t>di cui</w:t>
            </w:r>
            <w:r>
              <w:rPr>
                <w:rFonts w:ascii="Times New Roman" w:hAnsi="Times New Roman"/>
                <w:b/>
                <w:sz w:val="24"/>
                <w:u w:val="single"/>
              </w:rPr>
              <w:t>: valuta utilizzata per le segnalazioni</w:t>
            </w:r>
          </w:p>
          <w:p w14:paraId="1A313604" w14:textId="77777777" w:rsidR="00491F4D" w:rsidRPr="004B0EC7" w:rsidRDefault="00491F4D" w:rsidP="00BC0A9B">
            <w:pPr>
              <w:suppressAutoHyphens/>
              <w:autoSpaceDE w:val="0"/>
              <w:autoSpaceDN w:val="0"/>
              <w:adjustRightInd w:val="0"/>
              <w:spacing w:before="0" w:after="0"/>
              <w:rPr>
                <w:rFonts w:ascii="Times New Roman" w:hAnsi="Times New Roman"/>
                <w:sz w:val="24"/>
              </w:rPr>
            </w:pPr>
          </w:p>
          <w:p w14:paraId="6CF1E695" w14:textId="610F5CBC" w:rsidR="00491F4D" w:rsidRPr="004B0EC7" w:rsidRDefault="00491F4D"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nella valuta utilizzata per le segnalazioni che concorrono al calcolo dei requisiti patrimoniali ai sensi dell</w:t>
            </w:r>
            <w:r w:rsidR="00BC0A9B">
              <w:rPr>
                <w:rFonts w:ascii="Times New Roman" w:hAnsi="Times New Roman"/>
                <w:sz w:val="24"/>
              </w:rPr>
              <w:t>'</w:t>
            </w:r>
            <w:r>
              <w:rPr>
                <w:rFonts w:ascii="Times New Roman" w:hAnsi="Times New Roman"/>
                <w:sz w:val="24"/>
              </w:rPr>
              <w:t>articolo 354 del regolamento (UE) n.</w:t>
            </w:r>
            <w:r w:rsidR="00BC0A9B">
              <w:rPr>
                <w:rFonts w:ascii="Times New Roman" w:hAnsi="Times New Roman"/>
                <w:sz w:val="24"/>
              </w:rPr>
              <w:t> </w:t>
            </w:r>
            <w:r>
              <w:rPr>
                <w:rFonts w:ascii="Times New Roman" w:hAnsi="Times New Roman"/>
                <w:sz w:val="24"/>
              </w:rPr>
              <w:t>575/2013.</w:t>
            </w:r>
          </w:p>
          <w:p w14:paraId="1727C5A3" w14:textId="77777777" w:rsidR="00491F4D" w:rsidRPr="004B0EC7" w:rsidRDefault="00491F4D"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ALTRE VALUTE (compresi gli OIC trattati come valute diverse)</w:t>
            </w:r>
          </w:p>
          <w:p w14:paraId="1677D283"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0DD3AFD1" w14:textId="0F30363C"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soggette alla procedura generale di cui all</w:t>
            </w:r>
            <w:r w:rsidR="00BC0A9B">
              <w:rPr>
                <w:rFonts w:ascii="Times New Roman" w:hAnsi="Times New Roman"/>
                <w:sz w:val="24"/>
              </w:rPr>
              <w:t>'</w:t>
            </w:r>
            <w:r>
              <w:rPr>
                <w:rFonts w:ascii="Times New Roman" w:hAnsi="Times New Roman"/>
                <w:sz w:val="24"/>
              </w:rPr>
              <w:t>articolo 351 e all</w:t>
            </w:r>
            <w:r w:rsidR="00BC0A9B">
              <w:rPr>
                <w:rFonts w:ascii="Times New Roman" w:hAnsi="Times New Roman"/>
                <w:sz w:val="24"/>
              </w:rPr>
              <w:t>'</w:t>
            </w:r>
            <w:r>
              <w:rPr>
                <w:rFonts w:ascii="Times New Roman" w:hAnsi="Times New Roman"/>
                <w:sz w:val="24"/>
              </w:rPr>
              <w:t>articolo 352, paragrafi 2 e 4, del regolamento (UE) n. 575/2013.</w:t>
            </w:r>
          </w:p>
          <w:p w14:paraId="0D0C93F2"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369470C9" w14:textId="7AA06EF5" w:rsidR="000B0B09" w:rsidRPr="004B0EC7" w:rsidRDefault="000B0B09" w:rsidP="00BC0A9B">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Segnalazione di OIC trattati come valute diverse ai sensi dell</w:t>
            </w:r>
            <w:r w:rsidR="00BC0A9B">
              <w:rPr>
                <w:rFonts w:ascii="Times New Roman" w:hAnsi="Times New Roman"/>
                <w:sz w:val="24"/>
                <w:u w:val="single"/>
              </w:rPr>
              <w:t>'</w:t>
            </w:r>
            <w:r>
              <w:rPr>
                <w:rFonts w:ascii="Times New Roman" w:hAnsi="Times New Roman"/>
                <w:sz w:val="24"/>
                <w:u w:val="single"/>
              </w:rPr>
              <w:t>articolo 353 del regolamento (UE) n. 575/2013</w:t>
            </w:r>
          </w:p>
          <w:p w14:paraId="77B7A43F" w14:textId="77777777" w:rsidR="000B0B09" w:rsidRPr="004B0EC7" w:rsidRDefault="000B0B09" w:rsidP="00BC0A9B">
            <w:pPr>
              <w:suppressAutoHyphens/>
              <w:autoSpaceDE w:val="0"/>
              <w:autoSpaceDN w:val="0"/>
              <w:adjustRightInd w:val="0"/>
              <w:spacing w:before="0" w:after="0"/>
              <w:rPr>
                <w:rFonts w:ascii="Times New Roman" w:hAnsi="Times New Roman"/>
                <w:bCs/>
                <w:sz w:val="24"/>
              </w:rPr>
            </w:pPr>
            <w:r>
              <w:rPr>
                <w:rFonts w:ascii="Times New Roman" w:hAnsi="Times New Roman"/>
                <w:sz w:val="24"/>
              </w:rPr>
              <w:t>Sono previsti due trattamenti diversi degli OIC trattati come valute distinte per il calcolo dei requisiti patrimoniali:</w:t>
            </w:r>
          </w:p>
          <w:p w14:paraId="5B250982" w14:textId="2131B8BA" w:rsidR="000B0B09" w:rsidRPr="004B0EC7" w:rsidRDefault="00125707" w:rsidP="00BC0A9B">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il metodo modificato per il trattamento degli investimenti in oro, se la direzione dell</w:t>
            </w:r>
            <w:r w:rsidR="00BC0A9B">
              <w:rPr>
                <w:rFonts w:ascii="Times New Roman" w:hAnsi="Times New Roman"/>
                <w:sz w:val="24"/>
              </w:rPr>
              <w:t>'</w:t>
            </w:r>
            <w:r>
              <w:rPr>
                <w:rFonts w:ascii="Times New Roman" w:hAnsi="Times New Roman"/>
                <w:sz w:val="24"/>
              </w:rPr>
              <w:t>investimento in OIC non è disponibile (gli OIC in questione sono aggiunti alla posizione complessiva netta in valuta dell</w:t>
            </w:r>
            <w:r w:rsidR="00BC0A9B">
              <w:rPr>
                <w:rFonts w:ascii="Times New Roman" w:hAnsi="Times New Roman"/>
                <w:sz w:val="24"/>
              </w:rPr>
              <w:t>'</w:t>
            </w:r>
            <w:r>
              <w:rPr>
                <w:rFonts w:ascii="Times New Roman" w:hAnsi="Times New Roman"/>
                <w:sz w:val="24"/>
              </w:rPr>
              <w:t>ente);</w:t>
            </w:r>
          </w:p>
          <w:p w14:paraId="36EAAD8C" w14:textId="7E0ED346" w:rsidR="000B0B09" w:rsidRPr="004B0EC7" w:rsidRDefault="00125707" w:rsidP="00BC0A9B">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se la direzione dell</w:t>
            </w:r>
            <w:r w:rsidR="00BC0A9B">
              <w:rPr>
                <w:rFonts w:ascii="Times New Roman" w:hAnsi="Times New Roman"/>
                <w:sz w:val="24"/>
              </w:rPr>
              <w:t>'</w:t>
            </w:r>
            <w:r>
              <w:rPr>
                <w:rFonts w:ascii="Times New Roman" w:hAnsi="Times New Roman"/>
                <w:sz w:val="24"/>
              </w:rPr>
              <w:t>investimento in OIC è disponibile, gli OIC in questione sono aggiunti alla posizione complessiva aperta in valuta (lunga o corta a seconda della direzione dell</w:t>
            </w:r>
            <w:r w:rsidR="00BC0A9B">
              <w:rPr>
                <w:rFonts w:ascii="Times New Roman" w:hAnsi="Times New Roman"/>
                <w:sz w:val="24"/>
              </w:rPr>
              <w:t>'</w:t>
            </w:r>
            <w:r>
              <w:rPr>
                <w:rFonts w:ascii="Times New Roman" w:hAnsi="Times New Roman"/>
                <w:sz w:val="24"/>
              </w:rPr>
              <w:t>OIC).</w:t>
            </w:r>
          </w:p>
          <w:p w14:paraId="6410AE39" w14:textId="77777777" w:rsidR="000B0B09" w:rsidRPr="004B0EC7" w:rsidRDefault="000B0B09" w:rsidP="00BC0A9B">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lastRenderedPageBreak/>
              <w:t>La segnalazione degli OIC in questione segue il calcolo dei requisiti patrimoniali.</w:t>
            </w:r>
          </w:p>
          <w:p w14:paraId="6EF89CCB" w14:textId="77777777" w:rsidR="00DE48EF" w:rsidRPr="004B0EC7" w:rsidRDefault="00DE48EF"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4B0EC7" w:rsidRDefault="000B0B09"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ORO</w:t>
            </w:r>
          </w:p>
          <w:p w14:paraId="3DD20C37"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3E2B6F8D" w14:textId="2F3C26FB"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soggette alla procedura generale di cui all</w:t>
            </w:r>
            <w:r w:rsidR="00BC0A9B">
              <w:rPr>
                <w:rFonts w:ascii="Times New Roman" w:hAnsi="Times New Roman"/>
                <w:sz w:val="24"/>
              </w:rPr>
              <w:t>'</w:t>
            </w:r>
            <w:r>
              <w:rPr>
                <w:rFonts w:ascii="Times New Roman" w:hAnsi="Times New Roman"/>
                <w:sz w:val="24"/>
              </w:rPr>
              <w:t>articolo 351 e all</w:t>
            </w:r>
            <w:r w:rsidR="00BC0A9B">
              <w:rPr>
                <w:rFonts w:ascii="Times New Roman" w:hAnsi="Times New Roman"/>
                <w:sz w:val="24"/>
              </w:rPr>
              <w:t>'</w:t>
            </w:r>
            <w:r>
              <w:rPr>
                <w:rFonts w:ascii="Times New Roman" w:hAnsi="Times New Roman"/>
                <w:sz w:val="24"/>
              </w:rPr>
              <w:t xml:space="preserve">articolo 352, paragrafi 2 e 4, del regolamento (UE) n. 575/2013. </w:t>
            </w:r>
          </w:p>
          <w:p w14:paraId="23633856"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4B0EC7" w:rsidRDefault="000B0B09" w:rsidP="002D6CC5">
            <w:pPr>
              <w:suppressAutoHyphens/>
              <w:autoSpaceDE w:val="0"/>
              <w:autoSpaceDN w:val="0"/>
              <w:adjustRightInd w:val="0"/>
              <w:spacing w:before="4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14:paraId="409B80C0" w14:textId="56A2BE80" w:rsidR="000B0B09" w:rsidRPr="004B0EC7" w:rsidRDefault="000B0B09" w:rsidP="00BC0A9B">
            <w:pPr>
              <w:suppressAutoHyphens/>
              <w:autoSpaceDE w:val="0"/>
              <w:autoSpaceDN w:val="0"/>
              <w:adjustRightInd w:val="0"/>
              <w:spacing w:after="0"/>
              <w:rPr>
                <w:rFonts w:ascii="Times New Roman" w:hAnsi="Times New Roman"/>
                <w:sz w:val="24"/>
              </w:rPr>
            </w:pPr>
            <w:r>
              <w:rPr>
                <w:rFonts w:ascii="Times New Roman" w:hAnsi="Times New Roman"/>
                <w:sz w:val="24"/>
              </w:rPr>
              <w:t xml:space="preserve">Articolo 352, paragrafi 5 e 6, del regolamento (UE) n. 575/2013 </w:t>
            </w:r>
          </w:p>
          <w:p w14:paraId="28A72F07"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I requisiti aggiuntivi per opzioni correlati ai rischi diversi dal rischio delta sono segnalati ripartendoli in funzione del metodo utilizzato per il calcolo. </w:t>
            </w:r>
          </w:p>
          <w:p w14:paraId="64B10AE8"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4B0EC7" w:rsidRDefault="000B0B09"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Ripartizione delle posizioni totali (comprese le valute utilizzate per le segnalazioni) per tipo di esposizione</w:t>
            </w:r>
          </w:p>
          <w:p w14:paraId="35F84DAE"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Le posizioni totali sono ripartite per derivati, altre attività e passività ed elementi fuori bilancio.</w:t>
            </w:r>
          </w:p>
          <w:p w14:paraId="645944F1" w14:textId="77777777" w:rsidR="00DE48EF" w:rsidRPr="004B0EC7" w:rsidRDefault="00DE48EF"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4B0EC7" w:rsidRDefault="000B0B09"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Attività e passività diverse dagli elementi fuori bilancio e dai derivati</w:t>
            </w:r>
          </w:p>
          <w:p w14:paraId="70ABA94F"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Le posizioni non comprese nella riga 0110 o nella riga 0120 sono segnalate in questa voce. </w:t>
            </w:r>
          </w:p>
          <w:p w14:paraId="68474F8C"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Elementi fuori bilancio</w:t>
            </w:r>
          </w:p>
          <w:p w14:paraId="4FE41ABE"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7CE2DA10" w14:textId="1DD9B5F8"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Gli elementi che rientrano nell</w:t>
            </w:r>
            <w:r w:rsidR="00BC0A9B">
              <w:rPr>
                <w:rFonts w:ascii="Times New Roman" w:hAnsi="Times New Roman"/>
                <w:sz w:val="24"/>
              </w:rPr>
              <w:t>'</w:t>
            </w:r>
            <w:r>
              <w:rPr>
                <w:rFonts w:ascii="Times New Roman" w:hAnsi="Times New Roman"/>
                <w:sz w:val="24"/>
              </w:rPr>
              <w:t>ambito di applicazione dell</w:t>
            </w:r>
            <w:r w:rsidR="00BC0A9B">
              <w:rPr>
                <w:rFonts w:ascii="Times New Roman" w:hAnsi="Times New Roman"/>
                <w:sz w:val="24"/>
              </w:rPr>
              <w:t>'</w:t>
            </w:r>
            <w:r>
              <w:rPr>
                <w:rFonts w:ascii="Times New Roman" w:hAnsi="Times New Roman"/>
                <w:sz w:val="24"/>
              </w:rPr>
              <w:t>articolo 352 del regolamento (UE) n. 575/2013, indipendentemente dalla valuta di</w:t>
            </w:r>
            <w:r w:rsidR="002D6CC5">
              <w:rPr>
                <w:rFonts w:ascii="Times New Roman" w:hAnsi="Times New Roman"/>
                <w:sz w:val="24"/>
              </w:rPr>
              <w:t> </w:t>
            </w:r>
            <w:r>
              <w:rPr>
                <w:rFonts w:ascii="Times New Roman" w:hAnsi="Times New Roman"/>
                <w:sz w:val="24"/>
              </w:rPr>
              <w:t>denominazione, che sono compresi nell</w:t>
            </w:r>
            <w:r w:rsidR="00BC0A9B">
              <w:rPr>
                <w:rFonts w:ascii="Times New Roman" w:hAnsi="Times New Roman"/>
                <w:sz w:val="24"/>
              </w:rPr>
              <w:t>'</w:t>
            </w:r>
            <w:r>
              <w:rPr>
                <w:rFonts w:ascii="Times New Roman" w:hAnsi="Times New Roman"/>
                <w:sz w:val="24"/>
              </w:rPr>
              <w:t>allegato I di tale regolamento, tranne quelli inclusi come operazioni di finanziamento tramite titoli e operazioni con regolamento a lungo termine o derivanti da un accordo di compensazione contrattuale tra prodotti differenti.</w:t>
            </w:r>
          </w:p>
          <w:p w14:paraId="25D49F5C" w14:textId="77777777" w:rsidR="00DE48EF" w:rsidRPr="004B0EC7" w:rsidRDefault="00DE48EF"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Derivati</w:t>
            </w:r>
          </w:p>
          <w:p w14:paraId="7B6CC853"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174E14E9" w14:textId="43C3AD41"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valutate conformemente all</w:t>
            </w:r>
            <w:r w:rsidR="00BC0A9B">
              <w:rPr>
                <w:rFonts w:ascii="Times New Roman" w:hAnsi="Times New Roman"/>
                <w:sz w:val="24"/>
              </w:rPr>
              <w:t>'</w:t>
            </w:r>
            <w:r>
              <w:rPr>
                <w:rFonts w:ascii="Times New Roman" w:hAnsi="Times New Roman"/>
                <w:sz w:val="24"/>
              </w:rPr>
              <w:t>articolo 352 del regolamento (UE) n.</w:t>
            </w:r>
            <w:r w:rsidR="00BC0A9B">
              <w:rPr>
                <w:rFonts w:ascii="Times New Roman" w:hAnsi="Times New Roman"/>
                <w:sz w:val="24"/>
              </w:rPr>
              <w:t> </w:t>
            </w:r>
            <w:r>
              <w:rPr>
                <w:rFonts w:ascii="Times New Roman" w:hAnsi="Times New Roman"/>
                <w:sz w:val="24"/>
              </w:rPr>
              <w:t>575/2013.</w:t>
            </w:r>
          </w:p>
          <w:p w14:paraId="2984F2C2" w14:textId="77777777" w:rsidR="00902EFC" w:rsidRPr="004B0EC7" w:rsidRDefault="00902EFC" w:rsidP="002D6CC5">
            <w:pPr>
              <w:suppressAutoHyphens/>
              <w:autoSpaceDE w:val="0"/>
              <w:autoSpaceDN w:val="0"/>
              <w:adjustRightInd w:val="0"/>
              <w:spacing w:before="0" w:after="8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2D6CC5">
            <w:pPr>
              <w:suppressAutoHyphens/>
              <w:autoSpaceDE w:val="0"/>
              <w:autoSpaceDN w:val="0"/>
              <w:adjustRightInd w:val="0"/>
              <w:spacing w:before="40" w:after="40"/>
              <w:rPr>
                <w:rFonts w:ascii="Times New Roman" w:hAnsi="Times New Roman"/>
                <w:sz w:val="24"/>
              </w:rPr>
            </w:pPr>
            <w:r>
              <w:rPr>
                <w:rFonts w:ascii="Times New Roman" w:hAnsi="Times New Roman"/>
                <w:b/>
                <w:sz w:val="24"/>
                <w:u w:val="single"/>
              </w:rPr>
              <w:t>VOCI PER MEMORIA: POSIZIONI IN VALUTA</w:t>
            </w:r>
          </w:p>
          <w:p w14:paraId="77A906DE" w14:textId="77777777" w:rsidR="000B0B09" w:rsidRPr="004B0EC7" w:rsidRDefault="000B0B09" w:rsidP="00BC0A9B">
            <w:pPr>
              <w:suppressAutoHyphens/>
              <w:autoSpaceDE w:val="0"/>
              <w:autoSpaceDN w:val="0"/>
              <w:adjustRightInd w:val="0"/>
              <w:spacing w:before="0" w:after="0"/>
              <w:rPr>
                <w:rFonts w:ascii="Times New Roman" w:hAnsi="Times New Roman"/>
                <w:b/>
                <w:bCs/>
                <w:sz w:val="24"/>
                <w:lang w:eastAsia="de-DE"/>
              </w:rPr>
            </w:pPr>
          </w:p>
          <w:p w14:paraId="31EAE6A1" w14:textId="35AC43FE"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Le voci per memoria del modello sono compilate separatamente per tutte le valute degli Stati membri dell</w:t>
            </w:r>
            <w:r w:rsidR="00BC0A9B">
              <w:rPr>
                <w:rFonts w:ascii="Times New Roman" w:hAnsi="Times New Roman"/>
                <w:sz w:val="24"/>
              </w:rPr>
              <w:t>'</w:t>
            </w:r>
            <w:r>
              <w:rPr>
                <w:rFonts w:ascii="Times New Roman" w:hAnsi="Times New Roman"/>
                <w:sz w:val="24"/>
              </w:rPr>
              <w:t xml:space="preserve">Unione, per le valute GBP, USD, CHF, JPY, RUB, TRY, AUD, CAD, RSD, ALL, UAH, MKD, EGP, ARS, BRL, MXN, HKD, ICK, TWD, NZD, NOK, SGD, KRW, CNY, nonché per tutte le altre valute. </w:t>
            </w:r>
          </w:p>
          <w:p w14:paraId="2A795EB2" w14:textId="3FA18151" w:rsidR="0055144E" w:rsidRPr="004B0EC7" w:rsidRDefault="0055144E" w:rsidP="002D6CC5">
            <w:pPr>
              <w:suppressAutoHyphens/>
              <w:autoSpaceDE w:val="0"/>
              <w:autoSpaceDN w:val="0"/>
              <w:adjustRightInd w:val="0"/>
              <w:spacing w:before="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0470</w:t>
            </w:r>
          </w:p>
        </w:tc>
        <w:tc>
          <w:tcPr>
            <w:tcW w:w="7871" w:type="dxa"/>
          </w:tcPr>
          <w:p w14:paraId="323DC607" w14:textId="77777777" w:rsidR="00DB1114" w:rsidRPr="004B0EC7" w:rsidRDefault="00DB1114" w:rsidP="002D6CC5">
            <w:pPr>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Altro</w:t>
            </w:r>
          </w:p>
          <w:p w14:paraId="06E2CC4B" w14:textId="77777777" w:rsidR="00DB1114" w:rsidRPr="004B0EC7" w:rsidRDefault="00DB1114" w:rsidP="00BC0A9B">
            <w:pPr>
              <w:suppressAutoHyphens/>
              <w:autoSpaceDE w:val="0"/>
              <w:autoSpaceDN w:val="0"/>
              <w:adjustRightInd w:val="0"/>
              <w:spacing w:before="0" w:after="0"/>
              <w:rPr>
                <w:rFonts w:ascii="Times New Roman" w:hAnsi="Times New Roman"/>
                <w:b/>
                <w:bCs/>
                <w:sz w:val="24"/>
                <w:u w:val="single"/>
                <w:lang w:eastAsia="nl-BE"/>
              </w:rPr>
            </w:pPr>
          </w:p>
          <w:p w14:paraId="45C4133E" w14:textId="572C87ED" w:rsidR="00DB1114" w:rsidRPr="004B0EC7" w:rsidRDefault="00DB1114"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In questa riga sono incluse le posizioni in oro e le posizioni in OIC trattate come valuta separata conformemente all</w:t>
            </w:r>
            <w:r w:rsidR="00BC0A9B">
              <w:rPr>
                <w:rFonts w:ascii="Times New Roman" w:hAnsi="Times New Roman"/>
                <w:sz w:val="24"/>
              </w:rPr>
              <w:t>'</w:t>
            </w:r>
            <w:r>
              <w:rPr>
                <w:rFonts w:ascii="Times New Roman" w:hAnsi="Times New Roman"/>
                <w:sz w:val="24"/>
              </w:rPr>
              <w:t>articolo 353, paragrafo 3, del regolamento (UE) n. 575/2013.</w:t>
            </w:r>
          </w:p>
        </w:tc>
      </w:tr>
    </w:tbl>
    <w:p w14:paraId="6BA92730" w14:textId="77777777" w:rsidR="000B0B09" w:rsidRPr="004B0EC7" w:rsidRDefault="000B0B09" w:rsidP="00BC0A9B">
      <w:pPr>
        <w:suppressAutoHyphens/>
        <w:rPr>
          <w:rFonts w:ascii="Times New Roman" w:hAnsi="Times New Roman"/>
          <w:sz w:val="24"/>
        </w:rPr>
      </w:pPr>
    </w:p>
    <w:p w14:paraId="53515718" w14:textId="15BE5B2C"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t>5.6.</w:t>
      </w:r>
      <w:r w:rsidRPr="002D6CC5">
        <w:rPr>
          <w:u w:val="none"/>
        </w:rPr>
        <w:tab/>
      </w:r>
      <w:r>
        <w:rPr>
          <w:rFonts w:ascii="Times New Roman" w:hAnsi="Times New Roman"/>
          <w:sz w:val="24"/>
        </w:rPr>
        <w:t>C 23.01 - Rischio di mercato: metodo standardizzato semplificato per il rischio di posizione in merci</w:t>
      </w:r>
      <w:bookmarkEnd w:id="124"/>
      <w:bookmarkEnd w:id="125"/>
      <w:bookmarkEnd w:id="126"/>
      <w:bookmarkEnd w:id="127"/>
      <w:bookmarkEnd w:id="128"/>
      <w:r>
        <w:rPr>
          <w:rFonts w:ascii="Times New Roman" w:hAnsi="Times New Roman"/>
          <w:sz w:val="24"/>
        </w:rPr>
        <w:t xml:space="preserve"> (MKR SSA COM)</w:t>
      </w:r>
      <w:bookmarkEnd w:id="129"/>
      <w:bookmarkEnd w:id="130"/>
    </w:p>
    <w:p w14:paraId="72871AE4" w14:textId="77777777"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rsidRPr="00BC0A9B">
        <w:rPr>
          <w:u w:val="none"/>
        </w:rPr>
        <w:tab/>
      </w:r>
      <w:r>
        <w:rPr>
          <w:rFonts w:ascii="Times New Roman" w:hAnsi="Times New Roman"/>
          <w:sz w:val="24"/>
        </w:rPr>
        <w:t>Osservazioni di carattere generale</w:t>
      </w:r>
      <w:bookmarkEnd w:id="131"/>
      <w:bookmarkEnd w:id="132"/>
      <w:bookmarkEnd w:id="133"/>
      <w:bookmarkEnd w:id="134"/>
      <w:bookmarkEnd w:id="135"/>
      <w:bookmarkEnd w:id="136"/>
      <w:bookmarkEnd w:id="137"/>
    </w:p>
    <w:p w14:paraId="441FA19A" w14:textId="38802150" w:rsidR="000B0B09" w:rsidRPr="004B0EC7" w:rsidRDefault="008F3052" w:rsidP="00BC0A9B">
      <w:pPr>
        <w:pStyle w:val="InstructionsText2"/>
        <w:numPr>
          <w:ilvl w:val="0"/>
          <w:numId w:val="0"/>
        </w:numPr>
        <w:suppressAutoHyphens/>
        <w:ind w:left="993"/>
      </w:pPr>
      <w:r>
        <w:fldChar w:fldCharType="begin"/>
      </w:r>
      <w:r>
        <w:instrText>seq paragraphs</w:instrText>
      </w:r>
      <w:r>
        <w:fldChar w:fldCharType="separate"/>
      </w:r>
      <w:r>
        <w:t>173</w:t>
      </w:r>
      <w:r>
        <w:fldChar w:fldCharType="end"/>
      </w:r>
      <w:r>
        <w:t>.</w:t>
      </w:r>
      <w:r>
        <w:tab/>
        <w:t xml:space="preserve"> In questo modello vanno inserite informazioni riguardanti le posizioni in merci e i relativi requisiti di fondi propri trattati secondo il metodo standardizzato.</w:t>
      </w:r>
    </w:p>
    <w:p w14:paraId="0C8765B1" w14:textId="16F4CE7F"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rsidRPr="002D6CC5">
        <w:rPr>
          <w:u w:val="none"/>
        </w:rPr>
        <w:tab/>
      </w:r>
      <w:r>
        <w:rPr>
          <w:rFonts w:ascii="Times New Roman" w:hAnsi="Times New Roman"/>
          <w:sz w:val="24"/>
        </w:rPr>
        <w:t>Istruzioni relative a posizioni specifiche</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4B0EC7" w14:paraId="12CECACA" w14:textId="77777777" w:rsidTr="00672D2A">
        <w:tc>
          <w:tcPr>
            <w:tcW w:w="986" w:type="dxa"/>
          </w:tcPr>
          <w:p w14:paraId="6FA50BBC"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4B99A786"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60BC9B3E" w14:textId="3525E5DE"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lorde lunghe/corte considerate posizioni nella stessa merce conformemente all</w:t>
            </w:r>
            <w:r w:rsidR="00BC0A9B">
              <w:rPr>
                <w:rFonts w:ascii="Times New Roman" w:hAnsi="Times New Roman"/>
                <w:sz w:val="24"/>
              </w:rPr>
              <w:t>'</w:t>
            </w:r>
            <w:r>
              <w:rPr>
                <w:rFonts w:ascii="Times New Roman" w:hAnsi="Times New Roman"/>
                <w:sz w:val="24"/>
              </w:rPr>
              <w:t xml:space="preserve">articolo 357, paragrafo 4, del regolamento (UE) n. 575/2013 (cfr. anche articolo 359, paragrafo 1, del </w:t>
            </w:r>
            <w:proofErr w:type="gramStart"/>
            <w:r>
              <w:rPr>
                <w:rFonts w:ascii="Times New Roman" w:hAnsi="Times New Roman"/>
                <w:sz w:val="24"/>
              </w:rPr>
              <w:t>predetto</w:t>
            </w:r>
            <w:proofErr w:type="gramEnd"/>
            <w:r>
              <w:rPr>
                <w:rFonts w:ascii="Times New Roman" w:hAnsi="Times New Roman"/>
                <w:sz w:val="24"/>
              </w:rPr>
              <w:t xml:space="preserve"> regolamento).</w:t>
            </w:r>
          </w:p>
          <w:p w14:paraId="3E9C7204" w14:textId="7777777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NETTE (LUNGHE E CORTE)</w:t>
            </w:r>
          </w:p>
          <w:p w14:paraId="0B49C3FC"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27F059DD" w14:textId="62546985" w:rsidR="000B0B09" w:rsidRPr="004B0EC7" w:rsidRDefault="000B0B09" w:rsidP="00BC0A9B">
            <w:pPr>
              <w:suppressAutoHyphens/>
              <w:autoSpaceDE w:val="0"/>
              <w:autoSpaceDN w:val="0"/>
              <w:adjustRightInd w:val="0"/>
              <w:spacing w:before="0"/>
              <w:rPr>
                <w:rFonts w:ascii="Times New Roman" w:hAnsi="Times New Roman"/>
                <w:sz w:val="24"/>
              </w:rPr>
            </w:pPr>
            <w:r>
              <w:rPr>
                <w:rFonts w:ascii="Times New Roman" w:hAnsi="Times New Roman"/>
                <w:sz w:val="24"/>
              </w:rPr>
              <w:t>Come definito all</w:t>
            </w:r>
            <w:r w:rsidR="00BC0A9B">
              <w:rPr>
                <w:rFonts w:ascii="Times New Roman" w:hAnsi="Times New Roman"/>
                <w:sz w:val="24"/>
              </w:rPr>
              <w:t>'</w:t>
            </w:r>
            <w:r>
              <w:rPr>
                <w:rFonts w:ascii="Times New Roman" w:hAnsi="Times New Roman"/>
                <w:sz w:val="24"/>
              </w:rPr>
              <w:t xml:space="preserve">articolo 357, paragrafo 3, del regolamento (UE) n. 575/2013. </w:t>
            </w:r>
          </w:p>
        </w:tc>
      </w:tr>
      <w:tr w:rsidR="000B0B09" w:rsidRPr="004B0EC7" w14:paraId="0A46320C" w14:textId="77777777" w:rsidTr="00672D2A">
        <w:tc>
          <w:tcPr>
            <w:tcW w:w="986" w:type="dxa"/>
          </w:tcPr>
          <w:p w14:paraId="7F0B984E"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w:t>
            </w:r>
          </w:p>
          <w:p w14:paraId="55ED580C"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nette che, secondo i differenti metodi di cui alla parte tre, titolo IV, capo 4, del regolamento (UE) n. 575/2013, ricevono una copertura patrimoniale.</w:t>
            </w:r>
          </w:p>
          <w:p w14:paraId="762BD2E2"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353C923E"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 PRIMA DELL</w:t>
            </w:r>
            <w:r w:rsidR="00BC0A9B">
              <w:rPr>
                <w:rFonts w:ascii="Times New Roman" w:hAnsi="Times New Roman"/>
                <w:b/>
                <w:sz w:val="24"/>
                <w:u w:val="single"/>
              </w:rPr>
              <w:t>'</w:t>
            </w:r>
            <w:r>
              <w:rPr>
                <w:rFonts w:ascii="Times New Roman" w:hAnsi="Times New Roman"/>
                <w:b/>
                <w:sz w:val="24"/>
                <w:u w:val="single"/>
              </w:rPr>
              <w:t>APPLICAZIONE DEI FATTORI DI GRADUAZIONE</w:t>
            </w:r>
          </w:p>
          <w:p w14:paraId="545A195F"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1F8C468D" w14:textId="0836250E" w:rsidR="000B0B09" w:rsidRPr="004B0EC7" w:rsidRDefault="000B0B09" w:rsidP="00BC0A9B">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Il requisito di fondi propri calcolato conformemente alla parte tre, titolo IV, capo</w:t>
            </w:r>
            <w:r w:rsidR="00BC0A9B">
              <w:rPr>
                <w:rFonts w:ascii="Times New Roman" w:hAnsi="Times New Roman"/>
                <w:sz w:val="24"/>
              </w:rPr>
              <w:t> </w:t>
            </w:r>
            <w:r>
              <w:rPr>
                <w:rFonts w:ascii="Times New Roman" w:hAnsi="Times New Roman"/>
                <w:sz w:val="24"/>
              </w:rPr>
              <w:t>4, del regolamento (UE) n. 575/2013 per qualsiasi posizione pertinente, prima dell</w:t>
            </w:r>
            <w:r w:rsidR="00BC0A9B">
              <w:rPr>
                <w:rFonts w:ascii="Times New Roman" w:hAnsi="Times New Roman"/>
                <w:sz w:val="24"/>
              </w:rPr>
              <w:t>'</w:t>
            </w:r>
            <w:r>
              <w:rPr>
                <w:rFonts w:ascii="Times New Roman" w:hAnsi="Times New Roman"/>
                <w:sz w:val="24"/>
              </w:rPr>
              <w:t>applicazione del fattore di graduazione di cui all</w:t>
            </w:r>
            <w:r w:rsidR="00BC0A9B">
              <w:rPr>
                <w:rFonts w:ascii="Times New Roman" w:hAnsi="Times New Roman"/>
                <w:sz w:val="24"/>
              </w:rPr>
              <w:t>'</w:t>
            </w:r>
            <w:r>
              <w:rPr>
                <w:rFonts w:ascii="Times New Roman" w:hAnsi="Times New Roman"/>
                <w:sz w:val="24"/>
              </w:rPr>
              <w:t>articolo 325, paragrafo 2, di tale regolamento.</w:t>
            </w:r>
          </w:p>
        </w:tc>
      </w:tr>
      <w:tr w:rsidR="000B0B09" w:rsidRPr="004B0EC7" w14:paraId="380AB4E0" w14:textId="77777777" w:rsidTr="00672D2A">
        <w:tc>
          <w:tcPr>
            <w:tcW w:w="986" w:type="dxa"/>
          </w:tcPr>
          <w:p w14:paraId="0EE22EDA" w14:textId="671C9C7F"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5E655E35" w:rsidR="000B0B09" w:rsidRPr="004B0EC7" w:rsidRDefault="000B0B09" w:rsidP="00BC0A9B">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BC0A9B">
              <w:rPr>
                <w:rFonts w:ascii="Times New Roman" w:hAnsi="Times New Roman"/>
                <w:b/>
                <w:sz w:val="24"/>
                <w:u w:val="single"/>
              </w:rPr>
              <w:t>'</w:t>
            </w:r>
            <w:r>
              <w:rPr>
                <w:rFonts w:ascii="Times New Roman" w:hAnsi="Times New Roman"/>
                <w:b/>
                <w:sz w:val="24"/>
                <w:u w:val="single"/>
              </w:rPr>
              <w:t>ESPOSIZIONE AL RISCHIO</w:t>
            </w:r>
          </w:p>
          <w:p w14:paraId="35864C1F" w14:textId="77777777" w:rsidR="000B0B09" w:rsidRPr="004B0EC7" w:rsidRDefault="000B0B09" w:rsidP="00BC0A9B">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BC0A9B">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Articolo 92, paragrafo 4, lettera c), del regolamento (UE) n. 575/2013. </w:t>
            </w:r>
          </w:p>
          <w:p w14:paraId="67EADC1A" w14:textId="264B89C2" w:rsidR="000B0B09" w:rsidRPr="004B0EC7" w:rsidRDefault="000B0B09" w:rsidP="00BC0A9B">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Risultato della moltiplicazione dei requisiti di fondi propri per 12,5 conformemente all</w:t>
            </w:r>
            <w:r w:rsidR="00BC0A9B">
              <w:rPr>
                <w:rFonts w:ascii="Times New Roman" w:hAnsi="Times New Roman"/>
                <w:sz w:val="24"/>
              </w:rPr>
              <w:t>'</w:t>
            </w:r>
            <w:r>
              <w:rPr>
                <w:rFonts w:ascii="Times New Roman" w:hAnsi="Times New Roman"/>
                <w:sz w:val="24"/>
              </w:rPr>
              <w:t>articolo 92, paragrafo 6, lettera b), del regolamento (UE) n.</w:t>
            </w:r>
            <w:r w:rsidR="00BC0A9B">
              <w:rPr>
                <w:rFonts w:ascii="Times New Roman" w:hAnsi="Times New Roman"/>
                <w:sz w:val="24"/>
              </w:rPr>
              <w:t> </w:t>
            </w:r>
            <w:r>
              <w:rPr>
                <w:rFonts w:ascii="Times New Roman" w:hAnsi="Times New Roman"/>
                <w:sz w:val="24"/>
              </w:rPr>
              <w:t>575/2013 e per il fattore di graduazione conformemente all</w:t>
            </w:r>
            <w:r w:rsidR="00BC0A9B">
              <w:rPr>
                <w:rFonts w:ascii="Times New Roman" w:hAnsi="Times New Roman"/>
                <w:sz w:val="24"/>
              </w:rPr>
              <w:t>'</w:t>
            </w:r>
            <w:r>
              <w:rPr>
                <w:rFonts w:ascii="Times New Roman" w:hAnsi="Times New Roman"/>
                <w:sz w:val="24"/>
              </w:rPr>
              <w:t>articolo 325, paragrafo 2, lettera c), di tale regolamento.</w:t>
            </w:r>
          </w:p>
        </w:tc>
      </w:tr>
    </w:tbl>
    <w:p w14:paraId="0DC9D0A4" w14:textId="77777777" w:rsidR="000B0B09" w:rsidRPr="004B0EC7" w:rsidRDefault="000B0B09" w:rsidP="00BC0A9B">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lastRenderedPageBreak/>
              <w:t>Righe</w:t>
            </w:r>
          </w:p>
        </w:tc>
      </w:tr>
      <w:tr w:rsidR="000B0B09" w:rsidRPr="004B0EC7" w14:paraId="3F19FB75" w14:textId="77777777" w:rsidTr="00672D2A">
        <w:tc>
          <w:tcPr>
            <w:tcW w:w="987" w:type="dxa"/>
          </w:tcPr>
          <w:p w14:paraId="62003386"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TOTALI IN MERCI</w:t>
            </w:r>
          </w:p>
          <w:p w14:paraId="03562626" w14:textId="77777777" w:rsidR="000B0B09" w:rsidRPr="004B0EC7" w:rsidRDefault="000B0B09" w:rsidP="00BC0A9B">
            <w:pPr>
              <w:suppressAutoHyphens/>
              <w:autoSpaceDE w:val="0"/>
              <w:autoSpaceDN w:val="0"/>
              <w:adjustRightInd w:val="0"/>
              <w:spacing w:before="0" w:after="0"/>
              <w:rPr>
                <w:rFonts w:ascii="Times New Roman" w:hAnsi="Times New Roman"/>
                <w:sz w:val="24"/>
              </w:rPr>
            </w:pPr>
          </w:p>
          <w:p w14:paraId="1B02378E" w14:textId="2B9ED915" w:rsidR="000B0B09" w:rsidRPr="004B0EC7" w:rsidRDefault="000B0B09" w:rsidP="00BC0A9B">
            <w:pPr>
              <w:suppressAutoHyphens/>
              <w:autoSpaceDE w:val="0"/>
              <w:autoSpaceDN w:val="0"/>
              <w:adjustRightInd w:val="0"/>
              <w:spacing w:before="0"/>
              <w:rPr>
                <w:rFonts w:ascii="Times New Roman" w:hAnsi="Times New Roman"/>
                <w:sz w:val="24"/>
              </w:rPr>
            </w:pPr>
            <w:r>
              <w:rPr>
                <w:rFonts w:ascii="Times New Roman" w:hAnsi="Times New Roman"/>
                <w:sz w:val="24"/>
              </w:rPr>
              <w:t>Posizioni in merci e relativi requisiti di fondi propri per il rischio di mercato calcolati conformemente all</w:t>
            </w:r>
            <w:r w:rsidR="00BC0A9B">
              <w:rPr>
                <w:rFonts w:ascii="Times New Roman" w:hAnsi="Times New Roman"/>
                <w:sz w:val="24"/>
              </w:rPr>
              <w:t>'</w:t>
            </w:r>
            <w:r>
              <w:rPr>
                <w:rFonts w:ascii="Times New Roman" w:hAnsi="Times New Roman"/>
                <w:sz w:val="24"/>
              </w:rPr>
              <w:t xml:space="preserve">articolo 92, paragrafo 4, lettera c), del regolamento (UE) n. 575/2013 e alla parte tre, titolo IV, capo 4, di tale regolamento. </w:t>
            </w:r>
          </w:p>
        </w:tc>
      </w:tr>
      <w:tr w:rsidR="000B0B09" w:rsidRPr="004B0EC7" w14:paraId="216F1AEE" w14:textId="77777777" w:rsidTr="00672D2A">
        <w:tc>
          <w:tcPr>
            <w:tcW w:w="987" w:type="dxa"/>
          </w:tcPr>
          <w:p w14:paraId="62D08C2C"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PER CATEGORIA MERCEOLOGICA</w:t>
            </w:r>
          </w:p>
          <w:p w14:paraId="56921883"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3DC33454" w14:textId="3A5A1571"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A fini di segnalazione le merci sono raggruppate nelle quattro categorie merceologiche di cui alla tabella 2 dell</w:t>
            </w:r>
            <w:r w:rsidR="00BC0A9B">
              <w:rPr>
                <w:rFonts w:ascii="Times New Roman" w:hAnsi="Times New Roman"/>
                <w:sz w:val="24"/>
              </w:rPr>
              <w:t>'</w:t>
            </w:r>
            <w:r>
              <w:rPr>
                <w:rFonts w:ascii="Times New Roman" w:hAnsi="Times New Roman"/>
                <w:sz w:val="24"/>
              </w:rPr>
              <w:t>articolo 361 del regolamento (UE) n.</w:t>
            </w:r>
            <w:r w:rsidR="00BC0A9B">
              <w:rPr>
                <w:rFonts w:ascii="Times New Roman" w:hAnsi="Times New Roman"/>
                <w:sz w:val="24"/>
              </w:rPr>
              <w:t> </w:t>
            </w:r>
            <w:r>
              <w:rPr>
                <w:rFonts w:ascii="Times New Roman" w:hAnsi="Times New Roman"/>
                <w:sz w:val="24"/>
              </w:rPr>
              <w:t>575/2013.</w:t>
            </w:r>
          </w:p>
          <w:p w14:paraId="04BB5316" w14:textId="7777777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BASATO SULLE FASCE DI SCADENZA</w:t>
            </w:r>
          </w:p>
          <w:p w14:paraId="2C667CB8"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72CB6FD7" w14:textId="0BBBD0D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basato sulle fasce di scadenza di cui all</w:t>
            </w:r>
            <w:r w:rsidR="00BC0A9B">
              <w:rPr>
                <w:rFonts w:ascii="Times New Roman" w:hAnsi="Times New Roman"/>
                <w:sz w:val="24"/>
              </w:rPr>
              <w:t>'</w:t>
            </w:r>
            <w:r>
              <w:rPr>
                <w:rFonts w:ascii="Times New Roman" w:hAnsi="Times New Roman"/>
                <w:sz w:val="24"/>
              </w:rPr>
              <w:t>articolo 359 del regolamento (UE) n. 575/2013</w:t>
            </w:r>
          </w:p>
          <w:p w14:paraId="018E7283"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BASATO SULLE FASCE DI SCADENZA AMPLIATO</w:t>
            </w:r>
          </w:p>
          <w:p w14:paraId="28E22845"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072FB876" w14:textId="36623D86"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basato sulle fasce di scadenza ampliato di cui all</w:t>
            </w:r>
            <w:r w:rsidR="00BC0A9B">
              <w:rPr>
                <w:rFonts w:ascii="Times New Roman" w:hAnsi="Times New Roman"/>
                <w:sz w:val="24"/>
              </w:rPr>
              <w:t>'</w:t>
            </w:r>
            <w:r>
              <w:rPr>
                <w:rFonts w:ascii="Times New Roman" w:hAnsi="Times New Roman"/>
                <w:sz w:val="24"/>
              </w:rPr>
              <w:t>articolo 361 del regolamento (UE) n. 575/2013.</w:t>
            </w:r>
          </w:p>
          <w:p w14:paraId="4CC42EBB"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SEMPLIFICATO</w:t>
            </w:r>
          </w:p>
          <w:p w14:paraId="739EF26B"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33C6F5D9" w14:textId="14967203"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semplificato di cui all</w:t>
            </w:r>
            <w:r w:rsidR="00BC0A9B">
              <w:rPr>
                <w:rFonts w:ascii="Times New Roman" w:hAnsi="Times New Roman"/>
                <w:sz w:val="24"/>
              </w:rPr>
              <w:t>'</w:t>
            </w:r>
            <w:r>
              <w:rPr>
                <w:rFonts w:ascii="Times New Roman" w:hAnsi="Times New Roman"/>
                <w:sz w:val="24"/>
              </w:rPr>
              <w:t xml:space="preserve">articolo 360 del regolamento (UE) n. 575/2013 </w:t>
            </w:r>
          </w:p>
          <w:p w14:paraId="72D24CC9"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14:paraId="444B7110" w14:textId="08585130" w:rsidR="000B0B09" w:rsidRPr="004B0EC7" w:rsidRDefault="000B0B09" w:rsidP="00BC0A9B">
            <w:pPr>
              <w:suppressAutoHyphens/>
              <w:autoSpaceDE w:val="0"/>
              <w:autoSpaceDN w:val="0"/>
              <w:adjustRightInd w:val="0"/>
              <w:rPr>
                <w:rFonts w:ascii="Times New Roman" w:hAnsi="Times New Roman"/>
                <w:sz w:val="24"/>
              </w:rPr>
            </w:pPr>
            <w:r>
              <w:rPr>
                <w:rFonts w:ascii="Times New Roman" w:hAnsi="Times New Roman"/>
                <w:sz w:val="24"/>
              </w:rPr>
              <w:t xml:space="preserve">Articolo 358, paragrafo 4, del regolamento (UE) n. 575/2013 </w:t>
            </w:r>
          </w:p>
          <w:p w14:paraId="1D3D5AF7" w14:textId="7777777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I requisiti aggiuntivi per le opzioni correlate a rischi diversi dal rischio delta sono segnalati nel metodo utilizzato per il relativo calcolo.</w:t>
            </w:r>
          </w:p>
          <w:p w14:paraId="55D77BA3"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BC0A9B">
      <w:pPr>
        <w:suppressAutoHyphens/>
        <w:rPr>
          <w:rFonts w:ascii="Times New Roman" w:hAnsi="Times New Roman"/>
          <w:sz w:val="24"/>
        </w:rPr>
      </w:pPr>
    </w:p>
    <w:p w14:paraId="2B97C384" w14:textId="666FC352" w:rsidR="000B0B09" w:rsidRPr="004B0EC7" w:rsidRDefault="00125707" w:rsidP="00BC0A9B">
      <w:pPr>
        <w:pStyle w:val="Instructionsberschrift2"/>
        <w:numPr>
          <w:ilvl w:val="0"/>
          <w:numId w:val="0"/>
        </w:numPr>
        <w:suppressAutoHyphens/>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rsidRPr="00AC0A4B">
        <w:rPr>
          <w:u w:val="none"/>
        </w:rPr>
        <w:tab/>
      </w:r>
      <w:r>
        <w:rPr>
          <w:rFonts w:ascii="Times New Roman" w:hAnsi="Times New Roman"/>
          <w:sz w:val="24"/>
        </w:rPr>
        <w:t xml:space="preserve">C 24.00 - Modelli interni per il rischio di mercato </w:t>
      </w:r>
      <w:bookmarkEnd w:id="145"/>
      <w:bookmarkEnd w:id="146"/>
      <w:bookmarkEnd w:id="147"/>
      <w:bookmarkEnd w:id="148"/>
      <w:bookmarkEnd w:id="149"/>
      <w:r>
        <w:rPr>
          <w:rFonts w:ascii="Times New Roman" w:hAnsi="Times New Roman"/>
          <w:sz w:val="24"/>
        </w:rPr>
        <w:t>(MKR IM)</w:t>
      </w:r>
      <w:bookmarkEnd w:id="150"/>
      <w:bookmarkEnd w:id="151"/>
    </w:p>
    <w:p w14:paraId="78347ABD" w14:textId="77777777"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rsidRPr="00AC0A4B">
        <w:rPr>
          <w:u w:val="none"/>
        </w:rPr>
        <w:tab/>
      </w:r>
      <w:r>
        <w:rPr>
          <w:rFonts w:ascii="Times New Roman" w:hAnsi="Times New Roman"/>
          <w:sz w:val="24"/>
        </w:rPr>
        <w:t>Osservazioni di carattere generale</w:t>
      </w:r>
      <w:bookmarkEnd w:id="152"/>
      <w:bookmarkEnd w:id="153"/>
      <w:bookmarkEnd w:id="154"/>
      <w:bookmarkEnd w:id="155"/>
      <w:bookmarkEnd w:id="156"/>
      <w:bookmarkEnd w:id="157"/>
      <w:bookmarkEnd w:id="158"/>
    </w:p>
    <w:p w14:paraId="1055920F" w14:textId="5CFE289B" w:rsidR="000B0B09" w:rsidRPr="004B0EC7" w:rsidRDefault="00CE7221" w:rsidP="00BC0A9B">
      <w:pPr>
        <w:pStyle w:val="InstructionsText2"/>
        <w:numPr>
          <w:ilvl w:val="0"/>
          <w:numId w:val="0"/>
        </w:numPr>
        <w:suppressAutoHyphens/>
        <w:ind w:left="993"/>
      </w:pPr>
      <w:r>
        <w:fldChar w:fldCharType="begin"/>
      </w:r>
      <w:r>
        <w:instrText xml:space="preserve"> seq paragraphs </w:instrText>
      </w:r>
      <w:r>
        <w:fldChar w:fldCharType="separate"/>
      </w:r>
      <w:r>
        <w:t>174</w:t>
      </w:r>
      <w:r>
        <w:fldChar w:fldCharType="end"/>
      </w:r>
      <w:r>
        <w:t>.</w:t>
      </w:r>
      <w:r>
        <w:tab/>
        <w:t xml:space="preserve"> Questo modello contiene una ripartizione dei dati del valore a rischio (VaR) e del valore a rischio in condizioni di stress (</w:t>
      </w:r>
      <w:proofErr w:type="spellStart"/>
      <w:r>
        <w:t>SVaR</w:t>
      </w:r>
      <w:proofErr w:type="spellEnd"/>
      <w:r>
        <w:t>) secondo i diversi rischi di mercato (debito, strumenti di capitale, cambio, merci) e altre informazioni rilevanti per il calcolo dei requisiti di fondi propri.</w:t>
      </w:r>
    </w:p>
    <w:p w14:paraId="3DD1046B" w14:textId="1A53050E" w:rsidR="000B0B09" w:rsidRPr="004B0EC7" w:rsidRDefault="00CE7221" w:rsidP="00BC0A9B">
      <w:pPr>
        <w:pStyle w:val="InstructionsText2"/>
        <w:numPr>
          <w:ilvl w:val="0"/>
          <w:numId w:val="0"/>
        </w:numPr>
        <w:suppressAutoHyphens/>
        <w:ind w:left="993"/>
      </w:pPr>
      <w:r>
        <w:fldChar w:fldCharType="begin"/>
      </w:r>
      <w:r>
        <w:instrText xml:space="preserve"> seq paragraphs </w:instrText>
      </w:r>
      <w:r>
        <w:fldChar w:fldCharType="separate"/>
      </w:r>
      <w:r>
        <w:t>175</w:t>
      </w:r>
      <w:r>
        <w:fldChar w:fldCharType="end"/>
      </w:r>
      <w:r>
        <w:t>.</w:t>
      </w:r>
      <w:r>
        <w:tab/>
        <w:t xml:space="preserve"> In linea generale, dipende dalla struttura del modello degli enti il fatto che i dati relativi al rischio generico e al rischio specifico possano essere determinati e segnalati separatamente o solo come totale. Lo stesso vale per la scomposizione del VaR/</w:t>
      </w:r>
      <w:proofErr w:type="spellStart"/>
      <w:r>
        <w:t>SVaR</w:t>
      </w:r>
      <w:proofErr w:type="spellEnd"/>
      <w:r>
        <w:t xml:space="preserve"> tra le categorie di rischio (rischio di tasso d</w:t>
      </w:r>
      <w:r w:rsidR="00BC0A9B">
        <w:t>'</w:t>
      </w:r>
      <w:r>
        <w:t>interesse, azionario, di</w:t>
      </w:r>
      <w:r w:rsidR="002D6CC5">
        <w:t> </w:t>
      </w:r>
      <w:r>
        <w:t>posizione in merci e di cambio). L</w:t>
      </w:r>
      <w:r w:rsidR="00BC0A9B">
        <w:t>'</w:t>
      </w:r>
      <w:r>
        <w:t xml:space="preserve">ente può non segnalare queste scomposizioni </w:t>
      </w:r>
      <w:r>
        <w:lastRenderedPageBreak/>
        <w:t xml:space="preserve">se è in grado di dimostrare che la segnalazione di questi dati sarebbe ingiustificatamente onerosa. </w:t>
      </w:r>
    </w:p>
    <w:p w14:paraId="16A354D7" w14:textId="38B85B55" w:rsidR="000B0B09" w:rsidRPr="004B0EC7" w:rsidRDefault="00125707" w:rsidP="00BC0A9B">
      <w:pPr>
        <w:pStyle w:val="Instructionsberschrift2"/>
        <w:numPr>
          <w:ilvl w:val="0"/>
          <w:numId w:val="0"/>
        </w:numPr>
        <w:suppressAutoHyphens/>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t>5.7.2.</w:t>
      </w:r>
      <w:r w:rsidRPr="00AC0A4B">
        <w:rPr>
          <w:u w:val="none"/>
        </w:rPr>
        <w:tab/>
      </w:r>
      <w:r>
        <w:rPr>
          <w:rFonts w:ascii="Times New Roman" w:hAnsi="Times New Roman"/>
          <w:sz w:val="24"/>
        </w:rPr>
        <w:t>Istruzioni relative a posizioni specifiche</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Colonne</w:t>
            </w:r>
          </w:p>
        </w:tc>
      </w:tr>
      <w:tr w:rsidR="000B0B09" w:rsidRPr="004B0EC7" w14:paraId="27C19C3C" w14:textId="77777777" w:rsidTr="00672D2A">
        <w:tc>
          <w:tcPr>
            <w:tcW w:w="993" w:type="dxa"/>
          </w:tcPr>
          <w:p w14:paraId="10AA4817"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Valore a rischio (VaR)</w:t>
            </w:r>
          </w:p>
          <w:p w14:paraId="59F85AD6" w14:textId="77777777" w:rsidR="000B0B09" w:rsidRPr="004B0EC7" w:rsidRDefault="0016282F" w:rsidP="00BC0A9B">
            <w:pPr>
              <w:suppressAutoHyphens/>
              <w:autoSpaceDE w:val="0"/>
              <w:autoSpaceDN w:val="0"/>
              <w:adjustRightInd w:val="0"/>
              <w:rPr>
                <w:rFonts w:ascii="Times New Roman" w:hAnsi="Times New Roman"/>
                <w:b/>
                <w:bCs/>
                <w:sz w:val="24"/>
                <w:u w:val="single"/>
              </w:rPr>
            </w:pPr>
            <w:r>
              <w:rPr>
                <w:rFonts w:ascii="Times New Roman" w:hAnsi="Times New Roman"/>
                <w:sz w:val="24"/>
              </w:rPr>
              <w:t>Perdita potenziale massima che risulterebbe con una data probabilità da una variazione di prezzo a un orizzonte temporale specificato.</w:t>
            </w:r>
          </w:p>
        </w:tc>
      </w:tr>
      <w:tr w:rsidR="000B0B09" w:rsidRPr="004B0EC7" w14:paraId="50B81018" w14:textId="77777777" w:rsidTr="00672D2A">
        <w:tc>
          <w:tcPr>
            <w:tcW w:w="993" w:type="dxa"/>
          </w:tcPr>
          <w:p w14:paraId="49937121"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Fattore moltiplicativo (mc) x media dei 60 giorni lavorativi precedenti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28313DD"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fr-FR"/>
              </w:rPr>
            </w:pPr>
          </w:p>
          <w:p w14:paraId="799DC3B2" w14:textId="2CF55BE1" w:rsidR="000B0B09" w:rsidRPr="004B0EC7" w:rsidRDefault="0070502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a), punto ii), e articolo 365, paragrafo 1, del regolamento (UE) n. 575/2013 </w:t>
            </w:r>
          </w:p>
          <w:p w14:paraId="34698FA2"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Giorno precedente (VaRt-1)</w:t>
            </w:r>
          </w:p>
          <w:p w14:paraId="21BBDC54"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a), punto i), e articolo 365, paragrafo 1, del regolamento (UE) n. 575/2013 </w:t>
            </w:r>
          </w:p>
          <w:p w14:paraId="065DA05D"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in condizioni di stress</w:t>
            </w:r>
          </w:p>
          <w:p w14:paraId="30D5B348"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114BB124" w14:textId="12A69BFF" w:rsidR="000B0B09" w:rsidRPr="004B0EC7" w:rsidRDefault="0016282F" w:rsidP="00BC0A9B">
            <w:pPr>
              <w:suppressAutoHyphens/>
              <w:autoSpaceDE w:val="0"/>
              <w:autoSpaceDN w:val="0"/>
              <w:adjustRightInd w:val="0"/>
              <w:spacing w:before="0"/>
              <w:rPr>
                <w:rFonts w:ascii="Times New Roman" w:hAnsi="Times New Roman"/>
                <w:sz w:val="24"/>
              </w:rPr>
            </w:pPr>
            <w:r>
              <w:rPr>
                <w:rFonts w:ascii="Times New Roman" w:hAnsi="Times New Roman"/>
                <w:sz w:val="24"/>
              </w:rPr>
              <w:t>Perdita potenziale massima che risulterebbe con una data probabilità da una variazione di prezzo a un orizzonte temporale specificato, ottenuta tramite l</w:t>
            </w:r>
            <w:r w:rsidR="00BC0A9B">
              <w:rPr>
                <w:rFonts w:ascii="Times New Roman" w:hAnsi="Times New Roman"/>
                <w:sz w:val="24"/>
              </w:rPr>
              <w:t>'</w:t>
            </w:r>
            <w:r>
              <w:rPr>
                <w:rFonts w:ascii="Times New Roman" w:hAnsi="Times New Roman"/>
                <w:sz w:val="24"/>
              </w:rPr>
              <w:t>immissione di parametri calibrati su dati storici per un periodo continuato di dodici mesi di stress finanziario pertinente per il portafoglio dell</w:t>
            </w:r>
            <w:r w:rsidR="00BC0A9B">
              <w:rPr>
                <w:rFonts w:ascii="Times New Roman" w:hAnsi="Times New Roman"/>
                <w:sz w:val="24"/>
              </w:rPr>
              <w:t>'</w:t>
            </w:r>
            <w:r>
              <w:rPr>
                <w:rFonts w:ascii="Times New Roman" w:hAnsi="Times New Roman"/>
                <w:sz w:val="24"/>
              </w:rPr>
              <w:t>ente.</w:t>
            </w:r>
          </w:p>
        </w:tc>
      </w:tr>
      <w:tr w:rsidR="000B0B09" w:rsidRPr="004B0EC7" w14:paraId="006F4906" w14:textId="77777777" w:rsidTr="00672D2A">
        <w:tc>
          <w:tcPr>
            <w:tcW w:w="993" w:type="dxa"/>
          </w:tcPr>
          <w:p w14:paraId="294AFD20"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Fattore moltiplicativo (</w:t>
            </w:r>
            <w:proofErr w:type="spellStart"/>
            <w:r>
              <w:rPr>
                <w:rFonts w:ascii="Times New Roman" w:hAnsi="Times New Roman"/>
                <w:b/>
                <w:sz w:val="24"/>
                <w:u w:val="single"/>
              </w:rPr>
              <w:t>ms</w:t>
            </w:r>
            <w:proofErr w:type="spellEnd"/>
            <w:r>
              <w:rPr>
                <w:rFonts w:ascii="Times New Roman" w:hAnsi="Times New Roman"/>
                <w:b/>
                <w:sz w:val="24"/>
                <w:u w:val="single"/>
              </w:rPr>
              <w:t>) x media dei 60 giorni lavorativi precedenti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7CC7E24" w14:textId="77777777" w:rsidR="000B0B09" w:rsidRPr="004B0EC7" w:rsidRDefault="000B0B09" w:rsidP="00BC0A9B">
            <w:pPr>
              <w:suppressAutoHyphens/>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BC0A9B">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Articolo 364, paragrafo 1, lettera b), punto ii), e articolo 365, paragrafo 1, del regolamento (UE) n. 575/2013</w:t>
            </w:r>
            <w:r>
              <w:rPr>
                <w:rStyle w:val="InstructionsTabelleberschrift"/>
                <w:rFonts w:ascii="Times New Roman" w:hAnsi="Times New Roman"/>
                <w:sz w:val="24"/>
              </w:rPr>
              <w:t xml:space="preserve"> </w:t>
            </w:r>
          </w:p>
          <w:p w14:paraId="4E4677D0" w14:textId="77777777" w:rsidR="000B0B09" w:rsidRPr="004B0EC7" w:rsidRDefault="000B0B09" w:rsidP="00BC0A9B">
            <w:pPr>
              <w:suppressAutoHyphens/>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Ultimo disponibile (SVaRt-1)</w:t>
            </w:r>
          </w:p>
          <w:p w14:paraId="26D70865" w14:textId="77777777" w:rsidR="000B0B09" w:rsidRPr="004B0EC7" w:rsidRDefault="000B0B09" w:rsidP="00BC0A9B">
            <w:pPr>
              <w:suppressAutoHyphens/>
              <w:autoSpaceDE w:val="0"/>
              <w:autoSpaceDN w:val="0"/>
              <w:adjustRightInd w:val="0"/>
              <w:spacing w:before="0" w:after="0"/>
              <w:rPr>
                <w:rFonts w:ascii="Times New Roman" w:hAnsi="Times New Roman"/>
                <w:sz w:val="24"/>
              </w:rPr>
            </w:pPr>
          </w:p>
          <w:p w14:paraId="2269DF70" w14:textId="67B7CAF8" w:rsidR="000B0B09" w:rsidRPr="004B0EC7" w:rsidRDefault="001B17E6"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b), punto i), e articolo 365, paragrafo 1, del regolamento (UE) n. 575/2013 </w:t>
            </w:r>
          </w:p>
          <w:p w14:paraId="52AD8FDF"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COPERTURA PATRIMONIALE PER IL RISCHIO INCREMENTALE DI DEFAULT E DI MIGRAZIONE</w:t>
            </w:r>
          </w:p>
          <w:p w14:paraId="1E7EA146" w14:textId="395EAB56" w:rsidR="000B0B09" w:rsidRPr="004B0EC7" w:rsidRDefault="0016282F" w:rsidP="00BC0A9B">
            <w:pPr>
              <w:suppressAutoHyphens/>
              <w:rPr>
                <w:rFonts w:ascii="Times New Roman" w:hAnsi="Times New Roman"/>
                <w:b/>
                <w:bCs/>
                <w:sz w:val="24"/>
                <w:u w:val="single"/>
              </w:rPr>
            </w:pPr>
            <w:r>
              <w:rPr>
                <w:rFonts w:ascii="Times New Roman" w:hAnsi="Times New Roman"/>
                <w:sz w:val="24"/>
              </w:rPr>
              <w:t>Perdita potenziale massima che risulterebbe da una variazione di prezzo correlata a rischi di default e di migrazione calcolati conformemente all</w:t>
            </w:r>
            <w:r w:rsidR="00BC0A9B">
              <w:rPr>
                <w:rFonts w:ascii="Times New Roman" w:hAnsi="Times New Roman"/>
                <w:sz w:val="24"/>
              </w:rPr>
              <w:t>'</w:t>
            </w:r>
            <w:r>
              <w:rPr>
                <w:rFonts w:ascii="Times New Roman" w:hAnsi="Times New Roman"/>
                <w:sz w:val="24"/>
              </w:rPr>
              <w:t>articolo</w:t>
            </w:r>
            <w:r w:rsidR="00BC0A9B">
              <w:rPr>
                <w:rFonts w:ascii="Times New Roman" w:hAnsi="Times New Roman"/>
                <w:sz w:val="24"/>
              </w:rPr>
              <w:t> </w:t>
            </w:r>
            <w:r>
              <w:rPr>
                <w:rFonts w:ascii="Times New Roman" w:hAnsi="Times New Roman"/>
                <w:sz w:val="24"/>
              </w:rPr>
              <w:t xml:space="preserve">364, paragrafo 2, lettera b), in combinato disposto con la parte tre, titolo IV, capo 5, sezione 4, del regolamento (UE) n. 575/2013. </w:t>
            </w:r>
          </w:p>
        </w:tc>
      </w:tr>
      <w:tr w:rsidR="000B0B09" w:rsidRPr="004B0EC7" w14:paraId="0A8D9874" w14:textId="77777777" w:rsidTr="00672D2A">
        <w:tc>
          <w:tcPr>
            <w:tcW w:w="993" w:type="dxa"/>
          </w:tcPr>
          <w:p w14:paraId="75FBF5CA"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Misura media su 12 settimane</w:t>
            </w:r>
          </w:p>
          <w:p w14:paraId="54F95AD4" w14:textId="77777777" w:rsidR="005C14B0" w:rsidRPr="004B0EC7" w:rsidRDefault="005C14B0" w:rsidP="00BC0A9B">
            <w:pPr>
              <w:suppressAutoHyphens/>
              <w:autoSpaceDE w:val="0"/>
              <w:autoSpaceDN w:val="0"/>
              <w:adjustRightInd w:val="0"/>
              <w:spacing w:before="0" w:after="0"/>
              <w:rPr>
                <w:rFonts w:ascii="Times New Roman" w:hAnsi="Times New Roman"/>
                <w:sz w:val="24"/>
              </w:rPr>
            </w:pPr>
          </w:p>
          <w:p w14:paraId="7D1E5A11" w14:textId="494D2BD6" w:rsidR="005C14B0"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Articolo 364, paragrafo 2, lettera b), punto ii), in combinato disposto con la parte</w:t>
            </w:r>
            <w:r w:rsidR="00BC0A9B">
              <w:rPr>
                <w:rFonts w:ascii="Times New Roman" w:hAnsi="Times New Roman"/>
                <w:sz w:val="24"/>
              </w:rPr>
              <w:t> </w:t>
            </w:r>
            <w:r>
              <w:rPr>
                <w:rFonts w:ascii="Times New Roman" w:hAnsi="Times New Roman"/>
                <w:sz w:val="24"/>
              </w:rPr>
              <w:t>tre, titolo IV, capo 5, sezione 4, del regolamento (UE) n. 575/2013</w:t>
            </w:r>
          </w:p>
          <w:p w14:paraId="10724354"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69" w:type="dxa"/>
          </w:tcPr>
          <w:p w14:paraId="270A52C5"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Ultima misura</w:t>
            </w:r>
          </w:p>
          <w:p w14:paraId="52161985"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Articolo 364, paragrafo 2, lettera b), punto i), in combinato disposto con la parte tre, titolo IV, capo 5, sezione 4, del regolamento (UE) n. 575/2013</w:t>
            </w:r>
          </w:p>
          <w:p w14:paraId="401526B6"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COPERTURA PATRIMONIALE PER TUTTI I RISCHI DI PREZZO PER IL CTP</w:t>
            </w:r>
          </w:p>
          <w:p w14:paraId="277A72A9"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MINIMO</w:t>
            </w:r>
          </w:p>
          <w:p w14:paraId="08424932" w14:textId="6F00A60B" w:rsidR="000B0B09" w:rsidRPr="004B0EC7" w:rsidRDefault="000B0B09" w:rsidP="00BC0A9B">
            <w:pPr>
              <w:suppressAutoHyphens/>
              <w:rPr>
                <w:rFonts w:ascii="Times New Roman" w:hAnsi="Times New Roman"/>
                <w:sz w:val="24"/>
              </w:rPr>
            </w:pPr>
            <w:r>
              <w:rPr>
                <w:rFonts w:ascii="Times New Roman" w:hAnsi="Times New Roman"/>
                <w:sz w:val="24"/>
              </w:rPr>
              <w:t>Articolo 364, paragrafo 3, lettera c), del regolamento (UE) n. 575/2013</w:t>
            </w:r>
          </w:p>
          <w:p w14:paraId="71FEB01E" w14:textId="099A08E8"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Corrisponde all</w:t>
            </w:r>
            <w:r w:rsidR="00BC0A9B">
              <w:rPr>
                <w:rFonts w:ascii="Times New Roman" w:hAnsi="Times New Roman"/>
                <w:sz w:val="24"/>
              </w:rPr>
              <w:t>'</w:t>
            </w:r>
            <w:r>
              <w:rPr>
                <w:rFonts w:ascii="Times New Roman" w:hAnsi="Times New Roman"/>
                <w:sz w:val="24"/>
              </w:rPr>
              <w:t>8 % della copertura patrimoniale calcolata conformemente all</w:t>
            </w:r>
            <w:r w:rsidR="00BC0A9B">
              <w:rPr>
                <w:rFonts w:ascii="Times New Roman" w:hAnsi="Times New Roman"/>
                <w:sz w:val="24"/>
              </w:rPr>
              <w:t>'</w:t>
            </w:r>
            <w:r>
              <w:rPr>
                <w:rFonts w:ascii="Times New Roman" w:hAnsi="Times New Roman"/>
                <w:sz w:val="24"/>
              </w:rPr>
              <w:t xml:space="preserve">articolo 338, paragrafo 1, del regolamento (UE) n. 575/2013 per tutte le posizioni della copertura patrimoniale per </w:t>
            </w:r>
            <w:r w:rsidR="00BC0A9B">
              <w:rPr>
                <w:rFonts w:ascii="Times New Roman" w:hAnsi="Times New Roman"/>
                <w:sz w:val="24"/>
              </w:rPr>
              <w:t>"</w:t>
            </w:r>
            <w:r>
              <w:rPr>
                <w:rFonts w:ascii="Times New Roman" w:hAnsi="Times New Roman"/>
                <w:sz w:val="24"/>
              </w:rPr>
              <w:t>tutti i rischi di prezzo</w:t>
            </w:r>
            <w:r w:rsidR="00BC0A9B">
              <w:rPr>
                <w:rFonts w:ascii="Times New Roman" w:hAnsi="Times New Roman"/>
                <w:sz w:val="24"/>
              </w:rPr>
              <w:t>"</w:t>
            </w:r>
            <w:r>
              <w:rPr>
                <w:rFonts w:ascii="Times New Roman" w:hAnsi="Times New Roman"/>
                <w:sz w:val="24"/>
              </w:rPr>
              <w:t>.</w:t>
            </w:r>
            <w:r>
              <w:rPr>
                <w:rFonts w:ascii="Times New Roman" w:hAnsi="Times New Roman"/>
                <w:b/>
                <w:sz w:val="24"/>
                <w:u w:val="single"/>
              </w:rPr>
              <w:t xml:space="preserve"> </w:t>
            </w:r>
          </w:p>
          <w:p w14:paraId="52B76E80"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MISURA MEDIA SU 12 SETTIMANE E ULTIMA MISURA</w:t>
            </w:r>
          </w:p>
          <w:p w14:paraId="244F0E2D" w14:textId="75367C4C" w:rsidR="000B0B09" w:rsidRPr="004B0EC7" w:rsidRDefault="00587E96" w:rsidP="00BC0A9B">
            <w:pPr>
              <w:suppressAutoHyphens/>
              <w:autoSpaceDE w:val="0"/>
              <w:autoSpaceDN w:val="0"/>
              <w:adjustRightInd w:val="0"/>
              <w:spacing w:after="0"/>
              <w:rPr>
                <w:rFonts w:ascii="Times New Roman" w:hAnsi="Times New Roman"/>
                <w:bCs/>
                <w:sz w:val="24"/>
              </w:rPr>
            </w:pPr>
            <w:r>
              <w:rPr>
                <w:rFonts w:ascii="Times New Roman" w:hAnsi="Times New Roman"/>
                <w:sz w:val="24"/>
              </w:rPr>
              <w:t>Articolo 364, paragrafo 3, lettera b), del regolamento (UE) n. 575/2013</w:t>
            </w:r>
          </w:p>
          <w:p w14:paraId="07DFA832" w14:textId="4544A338" w:rsidR="000B0B09" w:rsidRPr="004B0EC7" w:rsidRDefault="000B0B09" w:rsidP="00BC0A9B">
            <w:pPr>
              <w:suppressAutoHyphens/>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BC0A9B">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ULTIMA MISURA</w:t>
            </w:r>
          </w:p>
          <w:p w14:paraId="58C3865D" w14:textId="7EBBD50E" w:rsidR="005C14B0" w:rsidRPr="004B0EC7" w:rsidRDefault="00587E96" w:rsidP="00BC0A9B">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Articolo 364, paragrafo 3, lettera a), del regolamento (UE) n. 575/2013</w:t>
            </w:r>
          </w:p>
          <w:p w14:paraId="60068EED"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7122FC14" w14:textId="411F42A1" w:rsidR="000B0B09" w:rsidRPr="004B0EC7" w:rsidRDefault="00BE0363" w:rsidP="00BC0A9B">
            <w:pPr>
              <w:suppressAutoHyphens/>
              <w:autoSpaceDE w:val="0"/>
              <w:autoSpaceDN w:val="0"/>
              <w:adjustRightInd w:val="0"/>
              <w:rPr>
                <w:rFonts w:ascii="Times New Roman" w:hAnsi="Times New Roman"/>
                <w:b/>
                <w:bCs/>
                <w:sz w:val="24"/>
                <w:u w:val="single"/>
              </w:rPr>
            </w:pPr>
            <w:r>
              <w:rPr>
                <w:rFonts w:ascii="Times New Roman" w:hAnsi="Times New Roman"/>
                <w:sz w:val="24"/>
              </w:rPr>
              <w:t>Requisiti di fondi propri citati nell</w:t>
            </w:r>
            <w:r w:rsidR="00BC0A9B">
              <w:rPr>
                <w:rFonts w:ascii="Times New Roman" w:hAnsi="Times New Roman"/>
                <w:sz w:val="24"/>
              </w:rPr>
              <w:t>'</w:t>
            </w:r>
            <w:r>
              <w:rPr>
                <w:rFonts w:ascii="Times New Roman" w:hAnsi="Times New Roman"/>
                <w:sz w:val="24"/>
              </w:rPr>
              <w:t>articolo 364 del regolamento (UE) n.</w:t>
            </w:r>
            <w:r w:rsidR="00BC0A9B">
              <w:rPr>
                <w:rFonts w:ascii="Times New Roman" w:hAnsi="Times New Roman"/>
                <w:sz w:val="24"/>
              </w:rPr>
              <w:t> </w:t>
            </w:r>
            <w:r>
              <w:rPr>
                <w:rFonts w:ascii="Times New Roman" w:hAnsi="Times New Roman"/>
                <w:sz w:val="24"/>
              </w:rPr>
              <w:t xml:space="preserve">575/2013 per tutti i fattori di rischio, tenuto conto degli effetti di correlazione, ove applicabili, più il rischio incrementale di default e di migrazione e tutti i rischi di prezzo per il CTP, esclusi però le coperture patrimoniali delle posizioni verso la cartolarizzazione e i derivati su crediti di tipo </w:t>
            </w:r>
            <w:proofErr w:type="spellStart"/>
            <w:r>
              <w:rPr>
                <w:rFonts w:ascii="Times New Roman" w:hAnsi="Times New Roman"/>
                <w:sz w:val="24"/>
              </w:rPr>
              <w:t>nth</w:t>
            </w:r>
            <w:proofErr w:type="spellEnd"/>
            <w:r>
              <w:rPr>
                <w:rFonts w:ascii="Times New Roman" w:hAnsi="Times New Roman"/>
                <w:sz w:val="24"/>
              </w:rPr>
              <w:t>-to-default conformemente all</w:t>
            </w:r>
            <w:r w:rsidR="00BC0A9B">
              <w:rPr>
                <w:rFonts w:ascii="Times New Roman" w:hAnsi="Times New Roman"/>
                <w:sz w:val="24"/>
              </w:rPr>
              <w:t>'</w:t>
            </w:r>
            <w:r>
              <w:rPr>
                <w:rFonts w:ascii="Times New Roman" w:hAnsi="Times New Roman"/>
                <w:sz w:val="24"/>
              </w:rPr>
              <w:t xml:space="preserve">articolo 364, paragrafo 2, del regolamento (UE) n. 575/2013. </w:t>
            </w:r>
          </w:p>
        </w:tc>
      </w:tr>
      <w:tr w:rsidR="000B0B09" w:rsidRPr="004B0EC7" w14:paraId="52312031" w14:textId="77777777" w:rsidTr="00672D2A">
        <w:tc>
          <w:tcPr>
            <w:tcW w:w="993" w:type="dxa"/>
          </w:tcPr>
          <w:p w14:paraId="79FC26FA"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1155E2FC"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BC0A9B">
              <w:rPr>
                <w:rFonts w:ascii="Times New Roman" w:hAnsi="Times New Roman"/>
                <w:b/>
                <w:sz w:val="24"/>
                <w:u w:val="single"/>
              </w:rPr>
              <w:t>'</w:t>
            </w:r>
            <w:r>
              <w:rPr>
                <w:rFonts w:ascii="Times New Roman" w:hAnsi="Times New Roman"/>
                <w:b/>
                <w:sz w:val="24"/>
                <w:u w:val="single"/>
              </w:rPr>
              <w:t>ESPOSIZIONE AL RISCHIO</w:t>
            </w:r>
          </w:p>
          <w:p w14:paraId="44CC9511" w14:textId="77777777" w:rsidR="000B0B09" w:rsidRPr="002D6CC5" w:rsidRDefault="000B0B09" w:rsidP="00BC0A9B">
            <w:pPr>
              <w:suppressAutoHyphens/>
              <w:autoSpaceDE w:val="0"/>
              <w:autoSpaceDN w:val="0"/>
              <w:adjustRightInd w:val="0"/>
              <w:spacing w:before="0" w:after="0"/>
              <w:rPr>
                <w:rFonts w:ascii="Times New Roman" w:hAnsi="Times New Roman"/>
                <w:b/>
                <w:bCs/>
                <w:szCs w:val="20"/>
                <w:u w:val="single"/>
                <w:lang w:eastAsia="nl-BE"/>
              </w:rPr>
            </w:pPr>
          </w:p>
          <w:p w14:paraId="777F75DA" w14:textId="5892BB6A" w:rsidR="00BE0363"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92, paragrafo 7, lettera b), del regolamento (UE) n. 575/2013. </w:t>
            </w:r>
          </w:p>
          <w:p w14:paraId="6FD933BD" w14:textId="77777777"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Risultato della moltiplicazione dei requisiti di fondi propri per 12,5</w:t>
            </w:r>
          </w:p>
          <w:p w14:paraId="7AA2CA20" w14:textId="77777777" w:rsidR="000B0B09" w:rsidRPr="002D6CC5" w:rsidRDefault="000B0B09" w:rsidP="00BC0A9B">
            <w:pPr>
              <w:suppressAutoHyphens/>
              <w:autoSpaceDE w:val="0"/>
              <w:autoSpaceDN w:val="0"/>
              <w:adjustRightInd w:val="0"/>
              <w:spacing w:before="0" w:after="0"/>
              <w:rPr>
                <w:rFonts w:ascii="Times New Roman" w:hAnsi="Times New Roman"/>
                <w:b/>
                <w:bCs/>
                <w:sz w:val="22"/>
                <w:szCs w:val="22"/>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BC0A9B">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Numero di scostamenti (durante i 250 giorni lavorativi precedenti)</w:t>
            </w:r>
          </w:p>
          <w:p w14:paraId="28B225BB" w14:textId="1F229496" w:rsidR="00A92CFF" w:rsidRPr="004B0EC7" w:rsidRDefault="000B0B09" w:rsidP="00BC0A9B">
            <w:pPr>
              <w:suppressAutoHyphens/>
              <w:autoSpaceDE w:val="0"/>
              <w:autoSpaceDN w:val="0"/>
              <w:adjustRightInd w:val="0"/>
              <w:spacing w:before="0"/>
              <w:rPr>
                <w:rFonts w:ascii="Times New Roman" w:hAnsi="Times New Roman"/>
                <w:sz w:val="24"/>
              </w:rPr>
            </w:pPr>
            <w:r>
              <w:rPr>
                <w:rFonts w:ascii="Times New Roman" w:hAnsi="Times New Roman"/>
                <w:sz w:val="24"/>
              </w:rPr>
              <w:t>Di cui all</w:t>
            </w:r>
            <w:r w:rsidR="00BC0A9B">
              <w:rPr>
                <w:rFonts w:ascii="Times New Roman" w:hAnsi="Times New Roman"/>
                <w:sz w:val="24"/>
              </w:rPr>
              <w:t>'</w:t>
            </w:r>
            <w:r>
              <w:rPr>
                <w:rFonts w:ascii="Times New Roman" w:hAnsi="Times New Roman"/>
                <w:sz w:val="24"/>
              </w:rPr>
              <w:t>articolo 366 del regolamento (UE) n. 575/2013</w:t>
            </w:r>
          </w:p>
          <w:p w14:paraId="555E37D2" w14:textId="6622E09E" w:rsidR="000B0B09" w:rsidRPr="004B0EC7" w:rsidRDefault="00A92CFF" w:rsidP="00BC0A9B">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È indicato il numero di scostamenti in base al quale è determinato l</w:t>
            </w:r>
            <w:r w:rsidR="00BC0A9B">
              <w:rPr>
                <w:rFonts w:ascii="Times New Roman" w:hAnsi="Times New Roman"/>
                <w:sz w:val="24"/>
              </w:rPr>
              <w:t>'</w:t>
            </w:r>
            <w:r>
              <w:rPr>
                <w:rFonts w:ascii="Times New Roman" w:hAnsi="Times New Roman"/>
                <w:sz w:val="24"/>
              </w:rPr>
              <w:t>addendo. Quando agli enti è consentito escludere taluni scostamenti dal calcolo dell</w:t>
            </w:r>
            <w:r w:rsidR="00BC0A9B">
              <w:rPr>
                <w:rFonts w:ascii="Times New Roman" w:hAnsi="Times New Roman"/>
                <w:sz w:val="24"/>
              </w:rPr>
              <w:t>'</w:t>
            </w:r>
            <w:r>
              <w:rPr>
                <w:rFonts w:ascii="Times New Roman" w:hAnsi="Times New Roman"/>
                <w:sz w:val="24"/>
              </w:rPr>
              <w:t>addendo conformemente all</w:t>
            </w:r>
            <w:r w:rsidR="00BC0A9B">
              <w:rPr>
                <w:rFonts w:ascii="Times New Roman" w:hAnsi="Times New Roman"/>
                <w:sz w:val="24"/>
              </w:rPr>
              <w:t>'</w:t>
            </w:r>
            <w:r>
              <w:rPr>
                <w:rFonts w:ascii="Times New Roman" w:hAnsi="Times New Roman"/>
                <w:sz w:val="24"/>
              </w:rPr>
              <w:t>articolo 500 quater del regolamento (UE) n.</w:t>
            </w:r>
            <w:r w:rsidR="00BC0A9B">
              <w:rPr>
                <w:rFonts w:ascii="Times New Roman" w:hAnsi="Times New Roman"/>
                <w:sz w:val="24"/>
              </w:rPr>
              <w:t> </w:t>
            </w:r>
            <w:r>
              <w:rPr>
                <w:rFonts w:ascii="Times New Roman" w:hAnsi="Times New Roman"/>
                <w:sz w:val="24"/>
              </w:rPr>
              <w:t>575/2013, il numero degli scostamenti segnalati in questa colonna è al netto degli scostamenti esclusi.</w:t>
            </w:r>
          </w:p>
        </w:tc>
      </w:tr>
      <w:tr w:rsidR="000B0B09" w:rsidRPr="004B0EC7" w14:paraId="6B35F841" w14:textId="77777777" w:rsidTr="00672D2A">
        <w:tc>
          <w:tcPr>
            <w:tcW w:w="993" w:type="dxa"/>
          </w:tcPr>
          <w:p w14:paraId="2EA668BF"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4B0EC7" w:rsidRDefault="000B0B09" w:rsidP="00BC0A9B">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Fattore moltiplicativo del valore a rischio (mc) e fattore moltiplicativo del valore a rischio in condizioni di stress (</w:t>
            </w:r>
            <w:proofErr w:type="spellStart"/>
            <w:r>
              <w:rPr>
                <w:rFonts w:ascii="Times New Roman" w:hAnsi="Times New Roman"/>
                <w:b/>
                <w:sz w:val="24"/>
                <w:u w:val="single"/>
              </w:rPr>
              <w:t>ms</w:t>
            </w:r>
            <w:proofErr w:type="spellEnd"/>
            <w:r>
              <w:rPr>
                <w:rFonts w:ascii="Times New Roman" w:hAnsi="Times New Roman"/>
                <w:b/>
                <w:sz w:val="24"/>
                <w:u w:val="single"/>
              </w:rPr>
              <w:t>)</w:t>
            </w:r>
          </w:p>
          <w:p w14:paraId="315BC479" w14:textId="438E290D" w:rsidR="005C14B0" w:rsidRPr="004B0EC7" w:rsidRDefault="000B0B09" w:rsidP="00BC0A9B">
            <w:pPr>
              <w:suppressAutoHyphens/>
              <w:autoSpaceDE w:val="0"/>
              <w:autoSpaceDN w:val="0"/>
              <w:adjustRightInd w:val="0"/>
              <w:spacing w:before="0"/>
              <w:rPr>
                <w:rFonts w:ascii="Times New Roman" w:hAnsi="Times New Roman"/>
                <w:sz w:val="24"/>
              </w:rPr>
            </w:pPr>
            <w:r>
              <w:rPr>
                <w:rFonts w:ascii="Times New Roman" w:hAnsi="Times New Roman"/>
                <w:sz w:val="24"/>
              </w:rPr>
              <w:t>Di cui all</w:t>
            </w:r>
            <w:r w:rsidR="00BC0A9B">
              <w:rPr>
                <w:rFonts w:ascii="Times New Roman" w:hAnsi="Times New Roman"/>
                <w:sz w:val="24"/>
              </w:rPr>
              <w:t>'</w:t>
            </w:r>
            <w:r>
              <w:rPr>
                <w:rFonts w:ascii="Times New Roman" w:hAnsi="Times New Roman"/>
                <w:sz w:val="24"/>
              </w:rPr>
              <w:t>articolo 366 del regolamento (UE) n. 575/2013</w:t>
            </w:r>
          </w:p>
          <w:p w14:paraId="4889D826" w14:textId="75A6A989" w:rsidR="000B0B09" w:rsidRPr="002D6CC5" w:rsidRDefault="00011AFA" w:rsidP="00BC0A9B">
            <w:pPr>
              <w:suppressAutoHyphens/>
              <w:autoSpaceDE w:val="0"/>
              <w:autoSpaceDN w:val="0"/>
              <w:adjustRightInd w:val="0"/>
              <w:spacing w:before="0" w:after="0"/>
              <w:rPr>
                <w:b/>
                <w:bCs/>
                <w:u w:val="single"/>
              </w:rPr>
            </w:pPr>
            <w:r>
              <w:rPr>
                <w:rFonts w:ascii="Times New Roman" w:hAnsi="Times New Roman"/>
                <w:sz w:val="24"/>
              </w:rPr>
              <w:t>Sono segnalati i fattori moltiplicativi effettivamente applicabili per il calcolo dei requisiti di fondi propri; se del caso, dopo l</w:t>
            </w:r>
            <w:r w:rsidR="00BC0A9B">
              <w:rPr>
                <w:rFonts w:ascii="Times New Roman" w:hAnsi="Times New Roman"/>
                <w:sz w:val="24"/>
              </w:rPr>
              <w:t>'</w:t>
            </w:r>
            <w:r>
              <w:rPr>
                <w:rFonts w:ascii="Times New Roman" w:hAnsi="Times New Roman"/>
                <w:sz w:val="24"/>
              </w:rPr>
              <w:t>applicazione dell</w:t>
            </w:r>
            <w:r w:rsidR="00BC0A9B">
              <w:rPr>
                <w:rFonts w:ascii="Times New Roman" w:hAnsi="Times New Roman"/>
                <w:sz w:val="24"/>
              </w:rPr>
              <w:t>'</w:t>
            </w:r>
            <w:r>
              <w:rPr>
                <w:rFonts w:ascii="Times New Roman" w:hAnsi="Times New Roman"/>
                <w:sz w:val="24"/>
              </w:rPr>
              <w:t>articolo 500 quater del regolamento (UE) n. 575/2013.</w:t>
            </w:r>
          </w:p>
        </w:tc>
      </w:tr>
      <w:tr w:rsidR="000B0B09" w:rsidRPr="004B0EC7" w14:paraId="0F119F1A" w14:textId="77777777" w:rsidTr="00672D2A">
        <w:tc>
          <w:tcPr>
            <w:tcW w:w="993" w:type="dxa"/>
          </w:tcPr>
          <w:p w14:paraId="1081B646" w14:textId="77777777" w:rsidR="000B0B09" w:rsidRPr="004B0EC7" w:rsidRDefault="002F79EA"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5B3A5B31" w14:textId="4AFF3A6D"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COPERTURA PRESUNTA PER IL REQUISITO MINIMO DEL CTP – POSIZIONI NETTE LUNGHE/CORTE PONDERATE DOPO L</w:t>
            </w:r>
            <w:r w:rsidR="00BC0A9B">
              <w:rPr>
                <w:rFonts w:ascii="Times New Roman" w:hAnsi="Times New Roman"/>
                <w:b/>
                <w:sz w:val="24"/>
                <w:u w:val="single"/>
              </w:rPr>
              <w:t>'</w:t>
            </w:r>
            <w:r>
              <w:rPr>
                <w:rFonts w:ascii="Times New Roman" w:hAnsi="Times New Roman"/>
                <w:b/>
                <w:sz w:val="24"/>
                <w:u w:val="single"/>
              </w:rPr>
              <w:t>APPLICAZIONE DEL MASSIMALE</w:t>
            </w:r>
          </w:p>
          <w:p w14:paraId="68C956BE" w14:textId="590F090D" w:rsidR="00902EFC" w:rsidRPr="004B0EC7" w:rsidRDefault="000B0B09" w:rsidP="00AC0A4B">
            <w:pPr>
              <w:suppressAutoHyphens/>
              <w:autoSpaceDE w:val="0"/>
              <w:autoSpaceDN w:val="0"/>
              <w:adjustRightInd w:val="0"/>
              <w:spacing w:after="200"/>
              <w:rPr>
                <w:rStyle w:val="InstructionsTabelleberschrift"/>
                <w:rFonts w:ascii="Times New Roman" w:hAnsi="Times New Roman"/>
                <w:sz w:val="24"/>
              </w:rPr>
            </w:pPr>
            <w:r>
              <w:rPr>
                <w:rFonts w:ascii="Times New Roman" w:hAnsi="Times New Roman"/>
                <w:sz w:val="24"/>
              </w:rPr>
              <w:t>L</w:t>
            </w:r>
            <w:r w:rsidR="00BC0A9B">
              <w:rPr>
                <w:rFonts w:ascii="Times New Roman" w:hAnsi="Times New Roman"/>
                <w:sz w:val="24"/>
              </w:rPr>
              <w:t>'</w:t>
            </w:r>
            <w:r>
              <w:rPr>
                <w:rFonts w:ascii="Times New Roman" w:hAnsi="Times New Roman"/>
                <w:sz w:val="24"/>
              </w:rPr>
              <w:t>importo segnalato e che serve da base di calcolo del requisito minimo di copertura patrimoniale per tutti i rischi di prezzo conformemente all</w:t>
            </w:r>
            <w:r w:rsidR="00BC0A9B">
              <w:rPr>
                <w:rFonts w:ascii="Times New Roman" w:hAnsi="Times New Roman"/>
                <w:sz w:val="24"/>
              </w:rPr>
              <w:t>'</w:t>
            </w:r>
            <w:r>
              <w:rPr>
                <w:rFonts w:ascii="Times New Roman" w:hAnsi="Times New Roman"/>
                <w:sz w:val="24"/>
              </w:rPr>
              <w:t>articolo 364, paragrafo 3, lettera c), del regolamento (UE) n. 575/2013, tenendo conto della facoltà di cui all</w:t>
            </w:r>
            <w:r w:rsidR="00BC0A9B">
              <w:rPr>
                <w:rFonts w:ascii="Times New Roman" w:hAnsi="Times New Roman"/>
                <w:sz w:val="24"/>
              </w:rPr>
              <w:t>'</w:t>
            </w:r>
            <w:r>
              <w:rPr>
                <w:rFonts w:ascii="Times New Roman" w:hAnsi="Times New Roman"/>
                <w:sz w:val="24"/>
              </w:rPr>
              <w:t xml:space="preserve">articolo 335 di tale regolamento, che permette a un ente di fissare, per il prodotto della ponderazione e della posizione netta, un massimale pari alla perdita massima possibile relativa al rischio di default. </w:t>
            </w:r>
          </w:p>
        </w:tc>
      </w:tr>
    </w:tbl>
    <w:p w14:paraId="32116763" w14:textId="77777777" w:rsidR="000B0B09" w:rsidRPr="004B0EC7" w:rsidRDefault="000B0B09" w:rsidP="00BC0A9B">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AC0A4B">
        <w:trPr>
          <w:trHeight w:val="627"/>
        </w:trPr>
        <w:tc>
          <w:tcPr>
            <w:tcW w:w="8896" w:type="dxa"/>
            <w:gridSpan w:val="2"/>
            <w:shd w:val="clear" w:color="auto" w:fill="CCCCCC"/>
          </w:tcPr>
          <w:p w14:paraId="60B80A9E" w14:textId="77777777" w:rsidR="000B0B09" w:rsidRPr="004B0EC7" w:rsidRDefault="000B0B09" w:rsidP="00BC0A9B">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E9314A" w:rsidRPr="004B0EC7" w14:paraId="4DAD8BA6" w14:textId="77777777" w:rsidTr="00672D2A">
        <w:tc>
          <w:tcPr>
            <w:tcW w:w="993" w:type="dxa"/>
          </w:tcPr>
          <w:p w14:paraId="2C74563C" w14:textId="77777777" w:rsidR="000B0B09" w:rsidRPr="004B0EC7" w:rsidRDefault="0078773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TOTALI</w:t>
            </w:r>
          </w:p>
          <w:p w14:paraId="22755B2D"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p w14:paraId="0B3799EE" w14:textId="79AD2133" w:rsidR="005C14B0" w:rsidRPr="004B0EC7" w:rsidRDefault="000B0B09" w:rsidP="00AC0A4B">
            <w:pPr>
              <w:suppressAutoHyphens/>
              <w:autoSpaceDE w:val="0"/>
              <w:autoSpaceDN w:val="0"/>
              <w:adjustRightInd w:val="0"/>
              <w:spacing w:before="0" w:after="160"/>
              <w:rPr>
                <w:rFonts w:ascii="Times New Roman" w:hAnsi="Times New Roman"/>
                <w:sz w:val="24"/>
              </w:rPr>
            </w:pPr>
            <w:r>
              <w:rPr>
                <w:rFonts w:ascii="Times New Roman" w:hAnsi="Times New Roman"/>
                <w:sz w:val="24"/>
              </w:rPr>
              <w:t>Parte del rischio di posizione, di cambio e di posizione in merci di cui all</w:t>
            </w:r>
            <w:r w:rsidR="00BC0A9B">
              <w:rPr>
                <w:rFonts w:ascii="Times New Roman" w:hAnsi="Times New Roman"/>
                <w:sz w:val="24"/>
              </w:rPr>
              <w:t>'</w:t>
            </w:r>
            <w:r>
              <w:rPr>
                <w:rFonts w:ascii="Times New Roman" w:hAnsi="Times New Roman"/>
                <w:sz w:val="24"/>
              </w:rPr>
              <w:t>articolo</w:t>
            </w:r>
            <w:r w:rsidR="00BC0A9B">
              <w:rPr>
                <w:rFonts w:ascii="Times New Roman" w:hAnsi="Times New Roman"/>
                <w:sz w:val="24"/>
              </w:rPr>
              <w:t> </w:t>
            </w:r>
            <w:r>
              <w:rPr>
                <w:rFonts w:ascii="Times New Roman" w:hAnsi="Times New Roman"/>
                <w:sz w:val="24"/>
              </w:rPr>
              <w:t>363, paragrafo 1, del regolamento (UE) n. 575/2013 correlata ai fattori di rischio specificati nell</w:t>
            </w:r>
            <w:r w:rsidR="00BC0A9B">
              <w:rPr>
                <w:rFonts w:ascii="Times New Roman" w:hAnsi="Times New Roman"/>
                <w:sz w:val="24"/>
              </w:rPr>
              <w:t>'</w:t>
            </w:r>
            <w:r>
              <w:rPr>
                <w:rFonts w:ascii="Times New Roman" w:hAnsi="Times New Roman"/>
                <w:sz w:val="24"/>
              </w:rPr>
              <w:t>articolo 367, paragrafo 2, di tale regolamento.</w:t>
            </w:r>
          </w:p>
          <w:p w14:paraId="6F18E4FF" w14:textId="77777777" w:rsidR="005C14B0"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Nelle colonne da 0030 a 0060 (VaR e </w:t>
            </w:r>
            <w:proofErr w:type="spellStart"/>
            <w:r>
              <w:rPr>
                <w:rFonts w:ascii="Times New Roman" w:hAnsi="Times New Roman"/>
                <w:sz w:val="24"/>
              </w:rPr>
              <w:t>SVaR</w:t>
            </w:r>
            <w:proofErr w:type="spellEnd"/>
            <w:r>
              <w:rPr>
                <w:rFonts w:ascii="Times New Roman" w:hAnsi="Times New Roman"/>
                <w:sz w:val="24"/>
              </w:rPr>
              <w:t>), le cifre segnalate nella riga del totale non sono uguali alla scomposizione delle cifre del VaR/</w:t>
            </w:r>
            <w:proofErr w:type="spellStart"/>
            <w:r>
              <w:rPr>
                <w:rFonts w:ascii="Times New Roman" w:hAnsi="Times New Roman"/>
                <w:sz w:val="24"/>
              </w:rPr>
              <w:t>SVaR</w:t>
            </w:r>
            <w:proofErr w:type="spellEnd"/>
            <w:r>
              <w:rPr>
                <w:rFonts w:ascii="Times New Roman" w:hAnsi="Times New Roman"/>
                <w:sz w:val="24"/>
              </w:rPr>
              <w:t xml:space="preserve"> delle pertinenti componenti del rischio.</w:t>
            </w:r>
          </w:p>
          <w:p w14:paraId="29160AEA"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2D6CC5">
            <w:pPr>
              <w:suppressAutoHyphens/>
              <w:autoSpaceDE w:val="0"/>
              <w:autoSpaceDN w:val="0"/>
              <w:adjustRightInd w:val="0"/>
              <w:spacing w:before="0" w:after="80"/>
              <w:rPr>
                <w:rFonts w:ascii="Times New Roman" w:hAnsi="Times New Roman"/>
                <w:b/>
                <w:bCs/>
                <w:sz w:val="24"/>
                <w:u w:val="single"/>
              </w:rPr>
            </w:pPr>
            <w:r>
              <w:rPr>
                <w:rFonts w:ascii="Times New Roman" w:hAnsi="Times New Roman"/>
                <w:b/>
                <w:sz w:val="24"/>
                <w:u w:val="single"/>
              </w:rPr>
              <w:t>STRUMENTI DI DEBITO NEGOZIATI</w:t>
            </w:r>
          </w:p>
          <w:p w14:paraId="7EB08097" w14:textId="06F9D1E2" w:rsidR="000B0B09" w:rsidRPr="004B0EC7" w:rsidRDefault="000B0B09" w:rsidP="002D6CC5">
            <w:pPr>
              <w:suppressAutoHyphens/>
              <w:autoSpaceDE w:val="0"/>
              <w:autoSpaceDN w:val="0"/>
              <w:adjustRightInd w:val="0"/>
              <w:spacing w:after="200"/>
              <w:rPr>
                <w:rFonts w:ascii="Times New Roman" w:hAnsi="Times New Roman"/>
                <w:sz w:val="24"/>
              </w:rPr>
            </w:pPr>
            <w:r>
              <w:rPr>
                <w:rFonts w:ascii="Times New Roman" w:hAnsi="Times New Roman"/>
                <w:sz w:val="24"/>
              </w:rPr>
              <w:t>Parte del rischio di posizione di cui all</w:t>
            </w:r>
            <w:r w:rsidR="00BC0A9B">
              <w:rPr>
                <w:rFonts w:ascii="Times New Roman" w:hAnsi="Times New Roman"/>
                <w:sz w:val="24"/>
              </w:rPr>
              <w:t>'</w:t>
            </w:r>
            <w:r>
              <w:rPr>
                <w:rFonts w:ascii="Times New Roman" w:hAnsi="Times New Roman"/>
                <w:sz w:val="24"/>
              </w:rPr>
              <w:t>articolo 363, paragrafo 1, del regolamento (UE) n. 575/2013 correlata ai fattori di rischio di tasso d</w:t>
            </w:r>
            <w:r w:rsidR="00BC0A9B">
              <w:rPr>
                <w:rFonts w:ascii="Times New Roman" w:hAnsi="Times New Roman"/>
                <w:sz w:val="24"/>
              </w:rPr>
              <w:t>'</w:t>
            </w:r>
            <w:r>
              <w:rPr>
                <w:rFonts w:ascii="Times New Roman" w:hAnsi="Times New Roman"/>
                <w:sz w:val="24"/>
              </w:rPr>
              <w:t>interesse specificati nell</w:t>
            </w:r>
            <w:r w:rsidR="00BC0A9B">
              <w:rPr>
                <w:rFonts w:ascii="Times New Roman" w:hAnsi="Times New Roman"/>
                <w:sz w:val="24"/>
              </w:rPr>
              <w:t>'</w:t>
            </w:r>
            <w:r>
              <w:rPr>
                <w:rFonts w:ascii="Times New Roman" w:hAnsi="Times New Roman"/>
                <w:sz w:val="24"/>
              </w:rPr>
              <w:t>articolo 367, paragrafo 2, lettera a), di tale regolamento.</w:t>
            </w:r>
          </w:p>
        </w:tc>
      </w:tr>
      <w:tr w:rsidR="00E9314A" w:rsidRPr="004B0EC7" w14:paraId="72F66455" w14:textId="77777777" w:rsidTr="00672D2A">
        <w:tc>
          <w:tcPr>
            <w:tcW w:w="993" w:type="dxa"/>
          </w:tcPr>
          <w:p w14:paraId="0890877A" w14:textId="77777777" w:rsidR="000B0B09" w:rsidRPr="004B0EC7" w:rsidRDefault="0078773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2D6CC5">
            <w:pPr>
              <w:suppressAutoHyphens/>
              <w:autoSpaceDE w:val="0"/>
              <w:autoSpaceDN w:val="0"/>
              <w:adjustRightInd w:val="0"/>
              <w:spacing w:before="0" w:after="80"/>
              <w:rPr>
                <w:rFonts w:ascii="Times New Roman" w:hAnsi="Times New Roman"/>
                <w:b/>
                <w:bCs/>
                <w:sz w:val="24"/>
                <w:u w:val="single"/>
              </w:rPr>
            </w:pPr>
            <w:r>
              <w:rPr>
                <w:rFonts w:ascii="Times New Roman" w:hAnsi="Times New Roman"/>
                <w:b/>
                <w:sz w:val="24"/>
                <w:u w:val="single"/>
              </w:rPr>
              <w:t>STRUMENTO DI DEBITO NEGOZIATI – RISCHIO GENERICO</w:t>
            </w:r>
          </w:p>
          <w:p w14:paraId="326F4D54" w14:textId="7C158BA0" w:rsidR="000B0B09" w:rsidRPr="004B0EC7" w:rsidRDefault="000B0B09" w:rsidP="00BC0A9B">
            <w:pPr>
              <w:suppressAutoHyphens/>
              <w:autoSpaceDE w:val="0"/>
              <w:autoSpaceDN w:val="0"/>
              <w:adjustRightInd w:val="0"/>
              <w:rPr>
                <w:rFonts w:ascii="Times New Roman" w:hAnsi="Times New Roman"/>
                <w:sz w:val="24"/>
              </w:rPr>
            </w:pPr>
            <w:r>
              <w:rPr>
                <w:rFonts w:ascii="Times New Roman" w:hAnsi="Times New Roman"/>
                <w:sz w:val="24"/>
              </w:rPr>
              <w:t>Componente del rischio generico di cui all</w:t>
            </w:r>
            <w:r w:rsidR="00BC0A9B">
              <w:rPr>
                <w:rFonts w:ascii="Times New Roman" w:hAnsi="Times New Roman"/>
                <w:sz w:val="24"/>
              </w:rPr>
              <w:t>'</w:t>
            </w:r>
            <w:r>
              <w:rPr>
                <w:rFonts w:ascii="Times New Roman" w:hAnsi="Times New Roman"/>
                <w:sz w:val="24"/>
              </w:rPr>
              <w:t>articolo 362 del regolamento (UE) n.</w:t>
            </w:r>
            <w:r w:rsidR="00BC0A9B">
              <w:rPr>
                <w:rFonts w:ascii="Times New Roman" w:hAnsi="Times New Roman"/>
                <w:sz w:val="24"/>
              </w:rPr>
              <w:t> </w:t>
            </w:r>
            <w:r>
              <w:rPr>
                <w:rFonts w:ascii="Times New Roman" w:hAnsi="Times New Roman"/>
                <w:sz w:val="24"/>
              </w:rPr>
              <w:t xml:space="preserve">575/2013 </w:t>
            </w:r>
          </w:p>
        </w:tc>
      </w:tr>
      <w:tr w:rsidR="00E9314A" w:rsidRPr="004B0EC7" w14:paraId="7683899C" w14:textId="77777777" w:rsidTr="00672D2A">
        <w:tc>
          <w:tcPr>
            <w:tcW w:w="993" w:type="dxa"/>
          </w:tcPr>
          <w:p w14:paraId="71740265" w14:textId="77777777" w:rsidR="000B0B09" w:rsidRPr="004B0EC7" w:rsidRDefault="0078773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STRUMENTO DI DEBITO NEGOZIATI – RISCHIO SPECIFICO</w:t>
            </w:r>
          </w:p>
          <w:p w14:paraId="545744BD"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32F4DB08" w14:textId="7C2AEB69" w:rsidR="000B0B09" w:rsidRPr="004B0EC7" w:rsidRDefault="000B0B09" w:rsidP="002D6CC5">
            <w:pPr>
              <w:suppressAutoHyphens/>
              <w:autoSpaceDE w:val="0"/>
              <w:autoSpaceDN w:val="0"/>
              <w:adjustRightInd w:val="0"/>
              <w:spacing w:after="240"/>
              <w:rPr>
                <w:rFonts w:ascii="Times New Roman" w:hAnsi="Times New Roman"/>
                <w:b/>
                <w:bCs/>
                <w:sz w:val="24"/>
                <w:u w:val="single"/>
              </w:rPr>
            </w:pPr>
            <w:r>
              <w:rPr>
                <w:rFonts w:ascii="Times New Roman" w:hAnsi="Times New Roman"/>
                <w:sz w:val="24"/>
              </w:rPr>
              <w:t>Componente del rischio specifico di cui all</w:t>
            </w:r>
            <w:r w:rsidR="00BC0A9B">
              <w:rPr>
                <w:rFonts w:ascii="Times New Roman" w:hAnsi="Times New Roman"/>
                <w:sz w:val="24"/>
              </w:rPr>
              <w:t>'</w:t>
            </w:r>
            <w:r>
              <w:rPr>
                <w:rFonts w:ascii="Times New Roman" w:hAnsi="Times New Roman"/>
                <w:sz w:val="24"/>
              </w:rPr>
              <w:t>articolo 362 del regolamento (UE) n.</w:t>
            </w:r>
            <w:r w:rsidR="00BC0A9B">
              <w:rPr>
                <w:rFonts w:ascii="Times New Roman" w:hAnsi="Times New Roman"/>
                <w:sz w:val="24"/>
              </w:rPr>
              <w:t> </w:t>
            </w:r>
            <w:r>
              <w:rPr>
                <w:rFonts w:ascii="Times New Roman" w:hAnsi="Times New Roman"/>
                <w:sz w:val="24"/>
              </w:rPr>
              <w:t xml:space="preserve">575/2013 </w:t>
            </w:r>
          </w:p>
        </w:tc>
      </w:tr>
      <w:tr w:rsidR="00E9314A" w:rsidRPr="004B0EC7" w14:paraId="71D5C884" w14:textId="77777777" w:rsidTr="00672D2A">
        <w:tc>
          <w:tcPr>
            <w:tcW w:w="993" w:type="dxa"/>
          </w:tcPr>
          <w:p w14:paraId="2F431F5B" w14:textId="77777777" w:rsidR="000B0B09" w:rsidRPr="004B0EC7" w:rsidRDefault="0078773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w:t>
            </w:r>
          </w:p>
          <w:p w14:paraId="2CB5AD43" w14:textId="77777777" w:rsidR="000B0B09" w:rsidRPr="004B0EC7" w:rsidRDefault="000B0B09" w:rsidP="00BC0A9B">
            <w:pPr>
              <w:suppressAutoHyphens/>
              <w:autoSpaceDE w:val="0"/>
              <w:autoSpaceDN w:val="0"/>
              <w:adjustRightInd w:val="0"/>
              <w:spacing w:before="0" w:after="0"/>
              <w:rPr>
                <w:rFonts w:ascii="Times New Roman" w:hAnsi="Times New Roman"/>
                <w:sz w:val="24"/>
                <w:lang w:eastAsia="de-DE"/>
              </w:rPr>
            </w:pPr>
          </w:p>
          <w:p w14:paraId="50C4B755" w14:textId="5390F602" w:rsidR="000B0B09" w:rsidRPr="004B0EC7" w:rsidRDefault="000B0B09"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Parte del rischio di posizione di cui all</w:t>
            </w:r>
            <w:r w:rsidR="00BC0A9B">
              <w:rPr>
                <w:rFonts w:ascii="Times New Roman" w:hAnsi="Times New Roman"/>
                <w:sz w:val="24"/>
              </w:rPr>
              <w:t>'</w:t>
            </w:r>
            <w:r>
              <w:rPr>
                <w:rFonts w:ascii="Times New Roman" w:hAnsi="Times New Roman"/>
                <w:sz w:val="24"/>
              </w:rPr>
              <w:t>articolo 363, paragrafo 1, del regolamento (UE) n. 575/2013 correlata ai fattori di rischio di strumenti di capitale specificati nell</w:t>
            </w:r>
            <w:r w:rsidR="00BC0A9B">
              <w:rPr>
                <w:rFonts w:ascii="Times New Roman" w:hAnsi="Times New Roman"/>
                <w:sz w:val="24"/>
              </w:rPr>
              <w:t>'</w:t>
            </w:r>
            <w:r>
              <w:rPr>
                <w:rFonts w:ascii="Times New Roman" w:hAnsi="Times New Roman"/>
                <w:sz w:val="24"/>
              </w:rPr>
              <w:t xml:space="preserve">articolo 367, paragrafo 2, lettera c), di tale regolamento. </w:t>
            </w:r>
          </w:p>
          <w:p w14:paraId="25BA2979"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 RISCHIO GENERICO</w:t>
            </w:r>
          </w:p>
          <w:p w14:paraId="528E3DA1" w14:textId="3B928C6C" w:rsidR="000B0B09" w:rsidRPr="004B0EC7" w:rsidRDefault="000B0B09" w:rsidP="002D6CC5">
            <w:pPr>
              <w:suppressAutoHyphens/>
              <w:autoSpaceDE w:val="0"/>
              <w:autoSpaceDN w:val="0"/>
              <w:adjustRightInd w:val="0"/>
              <w:spacing w:after="240"/>
              <w:rPr>
                <w:rFonts w:ascii="Times New Roman" w:hAnsi="Times New Roman"/>
                <w:b/>
                <w:bCs/>
                <w:sz w:val="24"/>
                <w:u w:val="single"/>
              </w:rPr>
            </w:pPr>
            <w:r>
              <w:rPr>
                <w:rFonts w:ascii="Times New Roman" w:hAnsi="Times New Roman"/>
                <w:sz w:val="24"/>
              </w:rPr>
              <w:t>Componente del rischio generico di cui all</w:t>
            </w:r>
            <w:r w:rsidR="00BC0A9B">
              <w:rPr>
                <w:rFonts w:ascii="Times New Roman" w:hAnsi="Times New Roman"/>
                <w:sz w:val="24"/>
              </w:rPr>
              <w:t>'</w:t>
            </w:r>
            <w:r>
              <w:rPr>
                <w:rFonts w:ascii="Times New Roman" w:hAnsi="Times New Roman"/>
                <w:sz w:val="24"/>
              </w:rPr>
              <w:t>articolo 362 del regolamento (UE) n.</w:t>
            </w:r>
            <w:r w:rsidR="00BC0A9B">
              <w:rPr>
                <w:rFonts w:ascii="Times New Roman" w:hAnsi="Times New Roman"/>
                <w:sz w:val="24"/>
              </w:rPr>
              <w:t> </w:t>
            </w:r>
            <w:r>
              <w:rPr>
                <w:rFonts w:ascii="Times New Roman" w:hAnsi="Times New Roman"/>
                <w:sz w:val="24"/>
              </w:rPr>
              <w:t>575/2013</w:t>
            </w:r>
          </w:p>
        </w:tc>
      </w:tr>
      <w:tr w:rsidR="00E9314A" w:rsidRPr="004B0EC7" w14:paraId="76BBEE88" w14:textId="77777777" w:rsidTr="00672D2A">
        <w:tc>
          <w:tcPr>
            <w:tcW w:w="993" w:type="dxa"/>
          </w:tcPr>
          <w:p w14:paraId="4D46D495" w14:textId="77777777" w:rsidR="000B0B09" w:rsidRPr="004B0EC7" w:rsidRDefault="00787733" w:rsidP="00AC0A4B">
            <w:pPr>
              <w:keepNext/>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315638DD" w14:textId="77777777" w:rsidR="000B0B09" w:rsidRPr="004B0EC7" w:rsidRDefault="000B0B09" w:rsidP="00AC0A4B">
            <w:pPr>
              <w:keepNext/>
              <w:suppressAutoHyphens/>
              <w:autoSpaceDE w:val="0"/>
              <w:autoSpaceDN w:val="0"/>
              <w:adjustRightInd w:val="0"/>
              <w:spacing w:before="40" w:after="0"/>
              <w:rPr>
                <w:rFonts w:ascii="Times New Roman" w:hAnsi="Times New Roman"/>
                <w:b/>
                <w:bCs/>
                <w:sz w:val="24"/>
                <w:u w:val="single"/>
              </w:rPr>
            </w:pPr>
            <w:r>
              <w:rPr>
                <w:rFonts w:ascii="Times New Roman" w:hAnsi="Times New Roman"/>
                <w:b/>
                <w:sz w:val="24"/>
                <w:u w:val="single"/>
              </w:rPr>
              <w:t>STRUMENTI DI CAPITALE – RISCHIO SPECIFICO</w:t>
            </w:r>
          </w:p>
          <w:p w14:paraId="53D03CDE" w14:textId="2C1F20F3" w:rsidR="000B0B09" w:rsidRPr="004B0EC7" w:rsidRDefault="000B0B09" w:rsidP="00AC0A4B">
            <w:pPr>
              <w:keepNext/>
              <w:suppressAutoHyphens/>
              <w:autoSpaceDE w:val="0"/>
              <w:autoSpaceDN w:val="0"/>
              <w:adjustRightInd w:val="0"/>
              <w:rPr>
                <w:rFonts w:ascii="Times New Roman" w:hAnsi="Times New Roman"/>
                <w:b/>
                <w:bCs/>
                <w:sz w:val="24"/>
                <w:u w:val="single"/>
              </w:rPr>
            </w:pPr>
            <w:r>
              <w:rPr>
                <w:rFonts w:ascii="Times New Roman" w:hAnsi="Times New Roman"/>
                <w:sz w:val="24"/>
              </w:rPr>
              <w:t>Componente del rischio specifico di cui all</w:t>
            </w:r>
            <w:r w:rsidR="00BC0A9B">
              <w:rPr>
                <w:rFonts w:ascii="Times New Roman" w:hAnsi="Times New Roman"/>
                <w:sz w:val="24"/>
              </w:rPr>
              <w:t>'</w:t>
            </w:r>
            <w:r>
              <w:rPr>
                <w:rFonts w:ascii="Times New Roman" w:hAnsi="Times New Roman"/>
                <w:sz w:val="24"/>
              </w:rPr>
              <w:t>articolo 362 del regolamento (UE) n.</w:t>
            </w:r>
            <w:r w:rsidR="00BC0A9B">
              <w:rPr>
                <w:rFonts w:ascii="Times New Roman" w:hAnsi="Times New Roman"/>
                <w:sz w:val="24"/>
              </w:rPr>
              <w:t> </w:t>
            </w:r>
            <w:r>
              <w:rPr>
                <w:rFonts w:ascii="Times New Roman" w:hAnsi="Times New Roman"/>
                <w:sz w:val="24"/>
              </w:rPr>
              <w:t xml:space="preserve">575/2013 </w:t>
            </w:r>
          </w:p>
        </w:tc>
      </w:tr>
      <w:tr w:rsidR="00E9314A" w:rsidRPr="004B0EC7" w14:paraId="572477D3" w14:textId="77777777" w:rsidTr="00672D2A">
        <w:tc>
          <w:tcPr>
            <w:tcW w:w="993" w:type="dxa"/>
          </w:tcPr>
          <w:p w14:paraId="22BAC81A" w14:textId="77777777" w:rsidR="000B0B09" w:rsidRPr="004B0EC7" w:rsidRDefault="0078773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DI CAMBIO</w:t>
            </w:r>
          </w:p>
          <w:p w14:paraId="4A2A62FE" w14:textId="098C8392" w:rsidR="000B0B09" w:rsidRPr="004B0EC7" w:rsidRDefault="000B0B09" w:rsidP="00BC0A9B">
            <w:pPr>
              <w:suppressAutoHyphens/>
              <w:autoSpaceDE w:val="0"/>
              <w:autoSpaceDN w:val="0"/>
              <w:adjustRightInd w:val="0"/>
              <w:rPr>
                <w:rFonts w:ascii="Times New Roman" w:hAnsi="Times New Roman"/>
                <w:b/>
                <w:bCs/>
                <w:sz w:val="24"/>
                <w:u w:val="single"/>
              </w:rPr>
            </w:pPr>
            <w:r>
              <w:rPr>
                <w:rFonts w:ascii="Times New Roman" w:hAnsi="Times New Roman"/>
                <w:sz w:val="24"/>
              </w:rPr>
              <w:t>Articolo 363, paragrafo 1, e articolo 367, paragrafo 2, lettera b), del regolamento (UE) n. 575/2013</w:t>
            </w:r>
          </w:p>
        </w:tc>
      </w:tr>
      <w:tr w:rsidR="00E9314A" w:rsidRPr="004B0EC7" w14:paraId="0161DCDD" w14:textId="77777777" w:rsidTr="00672D2A">
        <w:tc>
          <w:tcPr>
            <w:tcW w:w="993" w:type="dxa"/>
          </w:tcPr>
          <w:p w14:paraId="2D15B36B" w14:textId="77777777" w:rsidR="000B0B09" w:rsidRPr="004B0EC7" w:rsidRDefault="0078773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DI POSIZIONE IN MERCI</w:t>
            </w:r>
          </w:p>
          <w:p w14:paraId="341E16EA" w14:textId="56B929B0" w:rsidR="000B0B09" w:rsidRPr="004B0EC7" w:rsidRDefault="000B0B09" w:rsidP="00BC0A9B">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Articolo 363, paragrafo 1, e articolo 367, paragrafo 2, lettera d), del regolamento (UE) n. 575/2013 </w:t>
            </w:r>
          </w:p>
        </w:tc>
      </w:tr>
      <w:tr w:rsidR="00E9314A" w:rsidRPr="004B0EC7" w14:paraId="5676DEE7" w14:textId="77777777" w:rsidTr="00672D2A">
        <w:tc>
          <w:tcPr>
            <w:tcW w:w="993" w:type="dxa"/>
          </w:tcPr>
          <w:p w14:paraId="2262B333" w14:textId="77777777" w:rsidR="000B0B09" w:rsidRPr="004B0EC7" w:rsidRDefault="0078773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PER IL RISCHIO GENERICO</w:t>
            </w:r>
          </w:p>
          <w:p w14:paraId="62293AE5" w14:textId="77777777" w:rsidR="005C14B0" w:rsidRPr="004B0EC7" w:rsidRDefault="005C14B0" w:rsidP="00BC0A9B">
            <w:pPr>
              <w:suppressAutoHyphens/>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Rischio di mercato dovuto a movimenti generali di mercato di strumenti di debito negoziati, strumenti di capitale, cambio e merci. VaR del rischio generico di tutti i fattori di rischio (tenuto conto degli effetti di correlazione, ove applicabili). </w:t>
            </w:r>
          </w:p>
          <w:p w14:paraId="47CB1F26" w14:textId="77777777" w:rsidR="005C14B0" w:rsidRPr="004B0EC7" w:rsidRDefault="005C14B0" w:rsidP="00BC0A9B">
            <w:pPr>
              <w:suppressAutoHyphens/>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BC0A9B">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BC0A9B">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PER IL RISCHIO SPECIFICO</w:t>
            </w:r>
          </w:p>
          <w:p w14:paraId="319F28D3" w14:textId="77777777" w:rsidR="000B0B09" w:rsidRPr="002A677E" w:rsidRDefault="000B0B09" w:rsidP="00BC0A9B">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del rischio specifico di strumenti di debito negoziati e strumenti di capitale. VaR del rischio specifico degli strumenti di capitale e strumenti di debito negoziati interni al portafoglio di negoziazione (tenuto conto degli effetti di correlazione, ove applicabili).</w:t>
            </w:r>
          </w:p>
        </w:tc>
      </w:tr>
    </w:tbl>
    <w:p w14:paraId="23397501" w14:textId="77777777" w:rsidR="00724589" w:rsidRPr="002A677E" w:rsidRDefault="00724589" w:rsidP="00BC0A9B">
      <w:pPr>
        <w:suppressAutoHyphens/>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243DBEAD" w:rsidR="00C3070C" w:rsidRPr="00B828CC" w:rsidRDefault="00C3070C">
      <w:pPr>
        <w:pStyle w:val="FootnoteText"/>
      </w:pPr>
      <w:r w:rsidRPr="00BC0A9B">
        <w:rPr>
          <w:rStyle w:val="FootnoteReference"/>
          <w:rFonts w:ascii="Times New Roman" w:hAnsi="Times New Roman"/>
          <w:sz w:val="16"/>
          <w:szCs w:val="16"/>
        </w:rPr>
        <w:footnoteRef/>
      </w:r>
      <w:r>
        <w:tab/>
      </w:r>
      <w:r>
        <w:rPr>
          <w:rFonts w:ascii="Times New Roman" w:hAnsi="Times New Roman"/>
          <w:sz w:val="20"/>
        </w:rPr>
        <w:t>Regolamento delegato (UE) n. 525/2014 della Commissione, del 12 marzo 2014, che integra il regolamento (UE) n.</w:t>
      </w:r>
      <w:r w:rsidR="00BC0A9B">
        <w:rPr>
          <w:rFonts w:ascii="Times New Roman" w:hAnsi="Times New Roman"/>
          <w:sz w:val="20"/>
        </w:rPr>
        <w:t> </w:t>
      </w:r>
      <w:r>
        <w:rPr>
          <w:rFonts w:ascii="Times New Roman" w:hAnsi="Times New Roman"/>
          <w:sz w:val="20"/>
        </w:rPr>
        <w:t>575/2013 del Parlamento europeo e del Consiglio per quanto riguarda le norme tecniche di regolamentazione sui requisiti di fondi propri per gli enti (GU L 148 del 20.5.2014, pag. 15)</w:t>
      </w:r>
      <w:r>
        <w:t>.</w:t>
      </w:r>
    </w:p>
  </w:footnote>
  <w:footnote w:id="3">
    <w:p w14:paraId="018474C7" w14:textId="77777777" w:rsidR="00C3070C" w:rsidRPr="00BC0A9B" w:rsidRDefault="00C3070C">
      <w:pPr>
        <w:pStyle w:val="FootnoteText"/>
        <w:rPr>
          <w:rFonts w:ascii="Times New Roman" w:hAnsi="Times New Roman"/>
        </w:rPr>
      </w:pPr>
      <w:r w:rsidRPr="00BC0A9B">
        <w:rPr>
          <w:rStyle w:val="FootnoteReference"/>
          <w:rFonts w:ascii="Times New Roman" w:hAnsi="Times New Roman"/>
          <w:sz w:val="16"/>
          <w:szCs w:val="16"/>
        </w:rPr>
        <w:footnoteRef/>
      </w:r>
      <w:r w:rsidRPr="00BC0A9B">
        <w:rPr>
          <w:rFonts w:ascii="Times New Roman" w:hAnsi="Times New Roman"/>
        </w:rPr>
        <w:t xml:space="preserve"> </w:t>
      </w:r>
      <w:r w:rsidRPr="00BC0A9B">
        <w:rPr>
          <w:rFonts w:ascii="Times New Roman" w:hAnsi="Times New Roman"/>
          <w:sz w:val="20"/>
          <w:szCs w:val="20"/>
        </w:rPr>
        <w:t>Regolamento di esecuzione (UE) n. 945/2014 della Commissione, del 4 settembre 2014, che stabilisce norme tecniche di attuazione per quanto riguarda gli indici pertinenti adeguatamente diversificati conformemente al regolamento (UE) n. 575/2013 del Parlamento europeo e del Consiglio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Per l'uso ordinario dell'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Per l'uso ordinario dell'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Per l'uso ordinario dell'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6CC5"/>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972"/>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6EB9"/>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1D82"/>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A4B"/>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0A9B"/>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3B70"/>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1C2"/>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5046"/>
    <w:rPr>
      <w:rFonts w:ascii="Verdana" w:hAnsi="Verdana" w:cs="Times New Roman"/>
      <w:b/>
      <w:sz w:val="24"/>
      <w:szCs w:val="24"/>
      <w:u w:val="single"/>
      <w:lang w:val="it-IT"/>
    </w:rPr>
  </w:style>
  <w:style w:type="character" w:customStyle="1" w:styleId="Heading3Char">
    <w:name w:val="Heading 3 Char"/>
    <w:aliases w:val="Title 2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it-I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it-IT"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BAF05D60-A5BF-49D9-B55C-00C75BBDB40E}"/>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64</TotalTime>
  <Pages>22</Pages>
  <Words>7066</Words>
  <Characters>41010</Characters>
  <Application>Microsoft Office Word</Application>
  <DocSecurity>0</DocSecurity>
  <Lines>1079</Lines>
  <Paragraphs>579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PAUN Irina (DGT)</cp:lastModifiedBy>
  <cp:revision>5</cp:revision>
  <dcterms:created xsi:type="dcterms:W3CDTF">2024-06-19T18:18:00Z</dcterms:created>
  <dcterms:modified xsi:type="dcterms:W3CDTF">2025-01-27T14:11:00Z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2025-01-27T11:00:42Z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29a66775-2b78-41dd-aad1-38df41d407e0</vt:lpwstr>
  </property>
  <property fmtid="{D5CDD505-2E9C-101B-9397-08002B2CF9AE}" pid="9" name="MSIP_Label_6bd9ddd1-4d20-43f6-abfa-fc3c07406f94_ContentBits">
    <vt:lpwstr>0</vt:lpwstr>
  </property>
</Properties>
</file>